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spacing w:line="1200" w:lineRule="exact"/>
        <w:jc w:val="center"/>
        <w:rPr>
          <w:rFonts w:ascii="黑体" w:eastAsia="黑体"/>
          <w:color w:val="000000"/>
          <w:sz w:val="96"/>
          <w:szCs w:val="96"/>
        </w:rPr>
      </w:pPr>
    </w:p>
    <w:p>
      <w:pPr>
        <w:widowControl/>
        <w:spacing w:line="1200" w:lineRule="exact"/>
        <w:jc w:val="center"/>
        <w:rPr>
          <w:rFonts w:ascii="黑体" w:eastAsia="黑体"/>
          <w:color w:val="000000"/>
          <w:sz w:val="96"/>
          <w:szCs w:val="96"/>
        </w:rPr>
      </w:pPr>
    </w:p>
    <w:p>
      <w:pPr>
        <w:widowControl/>
        <w:spacing w:line="1200" w:lineRule="exact"/>
        <w:jc w:val="center"/>
        <w:rPr>
          <w:rFonts w:hint="eastAsia" w:ascii="仿宋" w:eastAsia="仿宋" w:cs="仿宋"/>
          <w:color w:val="000000"/>
          <w:sz w:val="96"/>
          <w:szCs w:val="96"/>
        </w:rPr>
      </w:pPr>
      <w:r>
        <w:rPr>
          <w:rFonts w:hint="eastAsia" w:ascii="仿宋" w:eastAsia="仿宋" w:cs="仿宋"/>
          <w:sz w:val="84"/>
          <w:szCs w:val="84"/>
        </w:rPr>
        <w:t>2019年度部门决算公开</w:t>
      </w:r>
    </w:p>
    <w:p>
      <w:pPr>
        <w:widowControl/>
        <w:jc w:val="center"/>
        <w:rPr>
          <w:rFonts w:ascii="黑体" w:eastAsia="黑体"/>
          <w:color w:val="002060"/>
          <w:sz w:val="72"/>
          <w:szCs w:val="72"/>
        </w:rPr>
      </w:pPr>
    </w:p>
    <w:p>
      <w:pPr>
        <w:widowControl/>
        <w:jc w:val="center"/>
        <w:rPr>
          <w:rFonts w:ascii="黑体" w:eastAsia="黑体"/>
          <w:b/>
          <w:sz w:val="72"/>
          <w:szCs w:val="72"/>
        </w:rPr>
      </w:pPr>
    </w:p>
    <w:p>
      <w:pPr>
        <w:widowControl/>
        <w:jc w:val="center"/>
        <w:rPr>
          <w:rFonts w:ascii="黑体" w:eastAsia="黑体"/>
          <w:b/>
          <w:sz w:val="72"/>
          <w:szCs w:val="72"/>
        </w:rPr>
      </w:pPr>
    </w:p>
    <w:p>
      <w:pPr>
        <w:widowControl/>
        <w:jc w:val="center"/>
        <w:rPr>
          <w:rFonts w:ascii="黑体" w:eastAsia="黑体"/>
          <w:b/>
          <w:sz w:val="72"/>
          <w:szCs w:val="72"/>
        </w:rPr>
      </w:pPr>
    </w:p>
    <w:p>
      <w:pPr>
        <w:widowControl/>
        <w:rPr>
          <w:rFonts w:ascii="黑体" w:eastAsia="黑体"/>
          <w:b/>
          <w:sz w:val="72"/>
          <w:szCs w:val="72"/>
        </w:rPr>
      </w:pPr>
    </w:p>
    <w:p>
      <w:pPr>
        <w:widowControl/>
        <w:ind w:firstLine="1767" w:firstLineChars="400"/>
        <w:rPr>
          <w:rFonts w:hint="eastAsia" w:ascii="仿宋" w:eastAsia="仿宋" w:cs="仿宋"/>
          <w:b/>
          <w:sz w:val="44"/>
          <w:szCs w:val="44"/>
        </w:rPr>
      </w:pPr>
      <w:r>
        <w:rPr>
          <w:rFonts w:hint="eastAsia" w:ascii="仿宋" w:eastAsia="仿宋" w:cs="仿宋"/>
          <w:b/>
          <w:sz w:val="44"/>
          <w:szCs w:val="44"/>
        </w:rPr>
        <w:t>中共廊坊市霸州市委宣传部</w:t>
      </w:r>
    </w:p>
    <w:p>
      <w:pPr>
        <w:widowControl/>
        <w:ind w:firstLine="2871" w:firstLineChars="650"/>
        <w:rPr>
          <w:rFonts w:hint="eastAsia" w:ascii="楷体" w:hAnsi="楷体" w:eastAsia="仿宋" w:cs="楷体"/>
          <w:b/>
          <w:sz w:val="44"/>
          <w:szCs w:val="44"/>
          <w:lang w:eastAsia="zh-CN"/>
        </w:rPr>
        <w:sectPr>
          <w:pgSz w:w="11906" w:h="16838"/>
          <w:pgMar w:top="2098" w:right="1474" w:bottom="1985" w:left="1588" w:header="851" w:footer="992" w:gutter="0"/>
          <w:docGrid w:type="lines" w:linePitch="312" w:charSpace="0"/>
        </w:sectPr>
      </w:pPr>
      <w:r>
        <w:rPr>
          <w:rFonts w:hint="eastAsia" w:ascii="仿宋" w:eastAsia="仿宋" w:cs="仿宋"/>
          <w:b/>
          <w:sz w:val="44"/>
          <w:szCs w:val="44"/>
        </w:rPr>
        <w:t>二〇二〇年九</w:t>
      </w:r>
      <w:r>
        <w:rPr>
          <w:rFonts w:hint="eastAsia" w:ascii="仿宋" w:eastAsia="仿宋" w:cs="仿宋"/>
          <w:b/>
          <w:sz w:val="44"/>
          <w:szCs w:val="44"/>
          <w:lang w:eastAsia="zh-CN"/>
        </w:rPr>
        <w:t>月</w:t>
      </w:r>
    </w:p>
    <w:p>
      <w:pPr>
        <w:spacing w:before="624" w:beforeLines="200" w:after="0" w:line="1000" w:lineRule="exact"/>
        <w:jc w:val="center"/>
        <w:rPr>
          <w:rFonts w:hint="eastAsia" w:ascii="仿宋" w:eastAsia="仿宋" w:cs="仿宋"/>
          <w:sz w:val="48"/>
          <w:szCs w:val="48"/>
        </w:rPr>
      </w:pPr>
      <w:r>
        <w:rPr>
          <w:rFonts w:hint="eastAsia" w:ascii="仿宋" w:eastAsia="仿宋" w:cs="仿宋"/>
          <w:sz w:val="48"/>
          <w:szCs w:val="48"/>
        </w:rPr>
        <w:t>目    录</w:t>
      </w:r>
    </w:p>
    <w:p>
      <w:pPr>
        <w:widowControl/>
        <w:spacing w:line="580" w:lineRule="exact"/>
        <w:ind w:firstLine="640" w:firstLineChars="200"/>
        <w:rPr>
          <w:rFonts w:hint="eastAsia" w:ascii="仿宋" w:eastAsia="仿宋" w:cs="仿宋"/>
          <w:sz w:val="32"/>
          <w:szCs w:val="32"/>
        </w:rPr>
      </w:pPr>
    </w:p>
    <w:p>
      <w:pPr>
        <w:widowControl/>
        <w:spacing w:line="580" w:lineRule="exact"/>
        <w:ind w:firstLine="640" w:firstLineChars="200"/>
        <w:rPr>
          <w:rFonts w:hint="eastAsia" w:ascii="仿宋" w:eastAsia="仿宋" w:cs="仿宋"/>
          <w:sz w:val="24"/>
          <w:szCs w:val="32"/>
        </w:rPr>
      </w:pPr>
      <w:r>
        <w:rPr>
          <w:rFonts w:hint="eastAsia" w:ascii="仿宋" w:eastAsia="仿宋" w:cs="仿宋"/>
          <w:sz w:val="32"/>
          <w:szCs w:val="32"/>
        </w:rPr>
        <w:t>第一部分  部门概况</w:t>
      </w:r>
    </w:p>
    <w:p>
      <w:pPr>
        <w:widowControl/>
        <w:spacing w:line="580" w:lineRule="exact"/>
        <w:ind w:firstLine="1273" w:firstLineChars="398"/>
        <w:rPr>
          <w:rFonts w:hint="eastAsia" w:ascii="仿宋" w:eastAsia="仿宋" w:cs="仿宋"/>
          <w:sz w:val="32"/>
          <w:szCs w:val="32"/>
        </w:rPr>
      </w:pPr>
      <w:r>
        <w:rPr>
          <w:rFonts w:hint="eastAsia" w:ascii="仿宋" w:eastAsia="仿宋" w:cs="仿宋"/>
          <w:sz w:val="32"/>
          <w:szCs w:val="32"/>
        </w:rPr>
        <w:t>一、部门职责</w:t>
      </w:r>
    </w:p>
    <w:p>
      <w:pPr>
        <w:widowControl/>
        <w:spacing w:line="580" w:lineRule="exact"/>
        <w:ind w:firstLine="1273" w:firstLineChars="398"/>
        <w:rPr>
          <w:rFonts w:hint="eastAsia" w:ascii="仿宋" w:eastAsia="仿宋" w:cs="仿宋"/>
          <w:sz w:val="32"/>
          <w:szCs w:val="32"/>
        </w:rPr>
      </w:pPr>
      <w:r>
        <w:rPr>
          <w:rFonts w:hint="eastAsia" w:ascii="仿宋" w:eastAsia="仿宋" w:cs="仿宋"/>
          <w:sz w:val="32"/>
          <w:szCs w:val="32"/>
        </w:rPr>
        <w:t>二、机构设置</w:t>
      </w:r>
    </w:p>
    <w:p>
      <w:pPr>
        <w:widowControl/>
        <w:spacing w:line="580" w:lineRule="exact"/>
        <w:ind w:firstLine="640" w:firstLineChars="200"/>
        <w:rPr>
          <w:rFonts w:hint="eastAsia" w:ascii="仿宋" w:eastAsia="仿宋" w:cs="仿宋"/>
          <w:sz w:val="32"/>
          <w:szCs w:val="32"/>
        </w:rPr>
      </w:pPr>
      <w:r>
        <w:rPr>
          <w:rFonts w:hint="eastAsia" w:ascii="仿宋" w:eastAsia="仿宋" w:cs="仿宋"/>
          <w:sz w:val="32"/>
          <w:szCs w:val="32"/>
        </w:rPr>
        <w:t>第二部分   2019年部门决算情况说明</w:t>
      </w:r>
    </w:p>
    <w:p>
      <w:pPr>
        <w:widowControl/>
        <w:spacing w:line="580" w:lineRule="exact"/>
        <w:ind w:left="640" w:firstLine="640" w:firstLineChars="200"/>
        <w:rPr>
          <w:rFonts w:hint="eastAsia" w:ascii="仿宋" w:eastAsia="仿宋" w:cs="仿宋"/>
          <w:sz w:val="32"/>
          <w:szCs w:val="32"/>
        </w:rPr>
      </w:pPr>
      <w:r>
        <w:rPr>
          <w:rFonts w:hint="eastAsia" w:ascii="仿宋" w:eastAsia="仿宋" w:cs="仿宋"/>
          <w:sz w:val="32"/>
          <w:szCs w:val="32"/>
        </w:rPr>
        <w:t>一、收入支出决算总体情况说明</w:t>
      </w:r>
    </w:p>
    <w:p>
      <w:pPr>
        <w:widowControl/>
        <w:spacing w:line="580" w:lineRule="exact"/>
        <w:ind w:left="640" w:firstLine="640" w:firstLineChars="200"/>
        <w:rPr>
          <w:rFonts w:hint="eastAsia" w:ascii="仿宋" w:eastAsia="仿宋" w:cs="仿宋"/>
          <w:sz w:val="32"/>
          <w:szCs w:val="32"/>
        </w:rPr>
      </w:pPr>
      <w:r>
        <w:rPr>
          <w:rFonts w:hint="eastAsia" w:ascii="仿宋" w:eastAsia="仿宋" w:cs="仿宋"/>
          <w:sz w:val="32"/>
          <w:szCs w:val="32"/>
        </w:rPr>
        <w:t>二、收入决算情况说明</w:t>
      </w:r>
    </w:p>
    <w:p>
      <w:pPr>
        <w:widowControl/>
        <w:spacing w:line="580" w:lineRule="exact"/>
        <w:ind w:left="640" w:firstLine="640" w:firstLineChars="200"/>
        <w:rPr>
          <w:rFonts w:hint="eastAsia" w:ascii="仿宋" w:eastAsia="仿宋" w:cs="仿宋"/>
          <w:sz w:val="32"/>
          <w:szCs w:val="32"/>
        </w:rPr>
      </w:pPr>
      <w:r>
        <w:rPr>
          <w:rFonts w:hint="eastAsia" w:ascii="仿宋" w:eastAsia="仿宋" w:cs="仿宋"/>
          <w:sz w:val="32"/>
          <w:szCs w:val="32"/>
        </w:rPr>
        <w:t>三、支出决算情况说明</w:t>
      </w:r>
    </w:p>
    <w:p>
      <w:pPr>
        <w:widowControl/>
        <w:spacing w:line="580" w:lineRule="exact"/>
        <w:ind w:left="640" w:firstLine="640" w:firstLineChars="200"/>
        <w:rPr>
          <w:rFonts w:hint="eastAsia" w:ascii="仿宋" w:eastAsia="仿宋" w:cs="仿宋"/>
          <w:sz w:val="32"/>
          <w:szCs w:val="32"/>
        </w:rPr>
      </w:pPr>
      <w:r>
        <w:rPr>
          <w:rFonts w:hint="eastAsia" w:ascii="仿宋" w:eastAsia="仿宋" w:cs="仿宋"/>
          <w:sz w:val="32"/>
          <w:szCs w:val="32"/>
        </w:rPr>
        <w:t>四、财政拨款收入支出决算总体情况说明</w:t>
      </w:r>
    </w:p>
    <w:p>
      <w:pPr>
        <w:widowControl/>
        <w:spacing w:line="580" w:lineRule="exact"/>
        <w:ind w:left="640" w:firstLine="640" w:firstLineChars="200"/>
        <w:rPr>
          <w:rFonts w:hint="eastAsia" w:ascii="仿宋" w:eastAsia="仿宋" w:cs="仿宋"/>
          <w:sz w:val="32"/>
          <w:szCs w:val="32"/>
        </w:rPr>
      </w:pPr>
      <w:r>
        <w:rPr>
          <w:rFonts w:hint="eastAsia" w:ascii="仿宋" w:eastAsia="仿宋" w:cs="仿宋"/>
          <w:sz w:val="32"/>
          <w:szCs w:val="32"/>
        </w:rPr>
        <w:t>五、一般公共预算 “三公”经费支出决算情况说明</w:t>
      </w:r>
    </w:p>
    <w:p>
      <w:pPr>
        <w:widowControl/>
        <w:spacing w:line="580" w:lineRule="exact"/>
        <w:ind w:left="640" w:firstLine="640" w:firstLineChars="200"/>
        <w:rPr>
          <w:rFonts w:hint="eastAsia" w:ascii="仿宋" w:eastAsia="仿宋" w:cs="仿宋"/>
          <w:sz w:val="32"/>
          <w:szCs w:val="32"/>
        </w:rPr>
      </w:pPr>
      <w:r>
        <w:rPr>
          <w:rFonts w:hint="eastAsia" w:ascii="仿宋" w:eastAsia="仿宋" w:cs="仿宋"/>
          <w:sz w:val="32"/>
          <w:szCs w:val="32"/>
        </w:rPr>
        <w:t>六、预算绩效情况说明</w:t>
      </w:r>
    </w:p>
    <w:p>
      <w:pPr>
        <w:widowControl/>
        <w:spacing w:line="580" w:lineRule="exact"/>
        <w:ind w:left="640" w:firstLine="640" w:firstLineChars="200"/>
        <w:rPr>
          <w:rFonts w:hint="eastAsia" w:ascii="仿宋" w:eastAsia="仿宋" w:cs="仿宋"/>
          <w:sz w:val="32"/>
          <w:szCs w:val="32"/>
        </w:rPr>
      </w:pPr>
      <w:r>
        <w:rPr>
          <w:rFonts w:hint="eastAsia" w:ascii="仿宋" w:eastAsia="仿宋" w:cs="仿宋"/>
          <w:sz w:val="32"/>
          <w:szCs w:val="32"/>
        </w:rPr>
        <w:t>七、其他重要事项的说明</w:t>
      </w:r>
    </w:p>
    <w:p>
      <w:pPr>
        <w:widowControl/>
        <w:spacing w:line="580" w:lineRule="exact"/>
        <w:ind w:firstLine="640" w:firstLineChars="200"/>
        <w:rPr>
          <w:rFonts w:hint="eastAsia" w:ascii="仿宋" w:eastAsia="仿宋" w:cs="仿宋"/>
          <w:sz w:val="32"/>
          <w:szCs w:val="32"/>
        </w:rPr>
      </w:pPr>
      <w:r>
        <w:rPr>
          <w:rFonts w:hint="eastAsia" w:ascii="仿宋" w:eastAsia="仿宋" w:cs="仿宋"/>
          <w:sz w:val="32"/>
          <w:szCs w:val="32"/>
        </w:rPr>
        <w:t>第三部分  名词解释</w:t>
      </w:r>
    </w:p>
    <w:p>
      <w:pPr>
        <w:widowControl/>
        <w:spacing w:line="580" w:lineRule="exact"/>
        <w:ind w:firstLine="640" w:firstLineChars="200"/>
        <w:rPr>
          <w:rFonts w:hint="eastAsia" w:ascii="仿宋" w:eastAsia="仿宋" w:cs="仿宋"/>
          <w:sz w:val="32"/>
          <w:szCs w:val="32"/>
        </w:rPr>
      </w:pPr>
      <w:r>
        <w:rPr>
          <w:rFonts w:hint="eastAsia" w:ascii="仿宋" w:eastAsia="仿宋" w:cs="仿宋"/>
          <w:sz w:val="32"/>
          <w:szCs w:val="32"/>
        </w:rPr>
        <w:t>第四部分  2019年度部门决算报表</w:t>
      </w:r>
    </w:p>
    <w:p>
      <w:pPr>
        <w:widowControl/>
        <w:spacing w:line="580" w:lineRule="exact"/>
        <w:ind w:left="640" w:firstLine="640" w:firstLineChars="200"/>
        <w:rPr>
          <w:rFonts w:hint="eastAsia" w:ascii="仿宋" w:eastAsia="仿宋" w:cs="仿宋"/>
          <w:sz w:val="32"/>
          <w:szCs w:val="32"/>
        </w:rPr>
      </w:pPr>
      <w:r>
        <w:rPr>
          <w:rFonts w:hint="eastAsia" w:ascii="仿宋" w:eastAsia="仿宋" w:cs="仿宋"/>
          <w:sz w:val="32"/>
          <w:szCs w:val="32"/>
        </w:rPr>
        <w:t>一、收入支出决算总表</w:t>
      </w:r>
    </w:p>
    <w:p>
      <w:pPr>
        <w:widowControl/>
        <w:spacing w:line="580" w:lineRule="exact"/>
        <w:ind w:left="640" w:firstLine="640" w:firstLineChars="200"/>
        <w:rPr>
          <w:rFonts w:hint="eastAsia" w:ascii="仿宋" w:eastAsia="仿宋" w:cs="仿宋"/>
          <w:sz w:val="32"/>
          <w:szCs w:val="32"/>
        </w:rPr>
      </w:pPr>
      <w:r>
        <w:rPr>
          <w:rFonts w:hint="eastAsia" w:ascii="仿宋" w:eastAsia="仿宋" w:cs="仿宋"/>
          <w:sz w:val="32"/>
          <w:szCs w:val="32"/>
        </w:rPr>
        <w:t>二、收入决算表</w:t>
      </w:r>
    </w:p>
    <w:p>
      <w:pPr>
        <w:widowControl/>
        <w:spacing w:line="580" w:lineRule="exact"/>
        <w:ind w:left="640" w:firstLine="640" w:firstLineChars="200"/>
        <w:rPr>
          <w:rFonts w:hint="eastAsia" w:ascii="仿宋" w:eastAsia="仿宋" w:cs="仿宋"/>
          <w:sz w:val="32"/>
          <w:szCs w:val="32"/>
        </w:rPr>
      </w:pPr>
      <w:r>
        <w:rPr>
          <w:rFonts w:hint="eastAsia" w:ascii="仿宋" w:eastAsia="仿宋" w:cs="仿宋"/>
          <w:sz w:val="32"/>
          <w:szCs w:val="32"/>
        </w:rPr>
        <w:t>三、支出决算表</w:t>
      </w:r>
    </w:p>
    <w:p>
      <w:pPr>
        <w:widowControl/>
        <w:spacing w:line="580" w:lineRule="exact"/>
        <w:ind w:left="640" w:firstLine="640" w:firstLineChars="200"/>
        <w:rPr>
          <w:rFonts w:hint="eastAsia" w:ascii="仿宋" w:eastAsia="仿宋" w:cs="仿宋"/>
          <w:sz w:val="32"/>
          <w:szCs w:val="32"/>
        </w:rPr>
      </w:pPr>
      <w:r>
        <w:rPr>
          <w:rFonts w:hint="eastAsia" w:ascii="仿宋" w:eastAsia="仿宋" w:cs="仿宋"/>
          <w:sz w:val="32"/>
          <w:szCs w:val="32"/>
        </w:rPr>
        <w:t>四、财政拨款收入支出决算总表</w:t>
      </w:r>
    </w:p>
    <w:p>
      <w:pPr>
        <w:widowControl/>
        <w:spacing w:line="580" w:lineRule="exact"/>
        <w:ind w:left="640" w:firstLine="640" w:firstLineChars="200"/>
        <w:rPr>
          <w:rFonts w:hint="eastAsia" w:ascii="仿宋" w:eastAsia="仿宋" w:cs="仿宋"/>
          <w:sz w:val="32"/>
          <w:szCs w:val="32"/>
        </w:rPr>
      </w:pPr>
      <w:r>
        <w:rPr>
          <w:rFonts w:hint="eastAsia" w:ascii="仿宋" w:eastAsia="仿宋" w:cs="仿宋"/>
          <w:sz w:val="32"/>
          <w:szCs w:val="32"/>
        </w:rPr>
        <w:t>五、一般公共预算财政拨款支出决算表</w:t>
      </w:r>
    </w:p>
    <w:p>
      <w:pPr>
        <w:widowControl/>
        <w:spacing w:line="580" w:lineRule="exact"/>
        <w:ind w:left="640" w:firstLine="640" w:firstLineChars="200"/>
        <w:rPr>
          <w:rFonts w:hint="eastAsia" w:ascii="仿宋" w:eastAsia="仿宋" w:cs="仿宋"/>
          <w:sz w:val="32"/>
          <w:szCs w:val="32"/>
        </w:rPr>
      </w:pPr>
      <w:r>
        <w:rPr>
          <w:rFonts w:hint="eastAsia" w:ascii="仿宋" w:eastAsia="仿宋" w:cs="仿宋"/>
          <w:sz w:val="32"/>
          <w:szCs w:val="32"/>
        </w:rPr>
        <w:t>六、一般公共预算财政拨款基本支出决算表</w:t>
      </w:r>
    </w:p>
    <w:p>
      <w:pPr>
        <w:widowControl/>
        <w:spacing w:line="580" w:lineRule="exact"/>
        <w:ind w:left="640" w:firstLine="640" w:firstLineChars="200"/>
        <w:rPr>
          <w:rFonts w:hint="eastAsia" w:ascii="仿宋" w:eastAsia="仿宋" w:cs="仿宋"/>
          <w:sz w:val="32"/>
          <w:szCs w:val="32"/>
        </w:rPr>
      </w:pPr>
      <w:r>
        <w:rPr>
          <w:rFonts w:hint="eastAsia" w:ascii="仿宋" w:eastAsia="仿宋" w:cs="仿宋"/>
          <w:sz w:val="32"/>
          <w:szCs w:val="32"/>
        </w:rPr>
        <w:t>七、一般公共预算财政拨款“三公”经费支出决算表</w:t>
      </w:r>
    </w:p>
    <w:p>
      <w:pPr>
        <w:widowControl/>
        <w:spacing w:line="580" w:lineRule="exact"/>
        <w:ind w:left="640" w:firstLine="640" w:firstLineChars="200"/>
        <w:rPr>
          <w:rFonts w:hint="eastAsia" w:ascii="仿宋" w:eastAsia="仿宋" w:cs="仿宋"/>
          <w:sz w:val="32"/>
          <w:szCs w:val="32"/>
        </w:rPr>
      </w:pPr>
      <w:r>
        <w:rPr>
          <w:rFonts w:hint="eastAsia" w:ascii="仿宋" w:eastAsia="仿宋" w:cs="仿宋"/>
          <w:sz w:val="32"/>
          <w:szCs w:val="32"/>
        </w:rPr>
        <w:t>八、政府性基金预算财政拨款收入支出决算表</w:t>
      </w:r>
    </w:p>
    <w:p>
      <w:pPr>
        <w:widowControl/>
        <w:spacing w:line="580" w:lineRule="exact"/>
        <w:ind w:left="640" w:firstLine="640" w:firstLineChars="200"/>
        <w:rPr>
          <w:rFonts w:hint="eastAsia" w:ascii="仿宋" w:eastAsia="仿宋" w:cs="仿宋"/>
          <w:sz w:val="32"/>
          <w:szCs w:val="32"/>
        </w:rPr>
      </w:pPr>
      <w:r>
        <w:rPr>
          <w:rFonts w:hint="eastAsia" w:ascii="仿宋" w:eastAsia="仿宋" w:cs="仿宋"/>
          <w:sz w:val="32"/>
          <w:szCs w:val="32"/>
        </w:rPr>
        <w:t>九、国有资本经营预算财政拨款支出决算表</w:t>
      </w:r>
    </w:p>
    <w:p/>
    <w:p/>
    <w:p/>
    <w:p/>
    <w:p/>
    <w:p/>
    <w:p/>
    <w:p/>
    <w:p/>
    <w:p>
      <w:pPr>
        <w:widowControl/>
        <w:jc w:val="center"/>
        <w:rPr>
          <w:rFonts w:ascii="黑体" w:eastAsia="黑体"/>
          <w:color w:val="000000"/>
          <w:sz w:val="96"/>
          <w:szCs w:val="96"/>
        </w:rPr>
      </w:pPr>
    </w:p>
    <w:p>
      <w:pPr>
        <w:widowControl/>
        <w:jc w:val="center"/>
        <w:rPr>
          <w:rFonts w:ascii="黑体" w:eastAsia="黑体"/>
          <w:color w:val="000000"/>
          <w:sz w:val="96"/>
          <w:szCs w:val="96"/>
        </w:rPr>
      </w:pPr>
    </w:p>
    <w:p>
      <w:pPr>
        <w:widowControl/>
        <w:jc w:val="center"/>
        <w:rPr>
          <w:rFonts w:ascii="黑体" w:eastAsia="黑体"/>
          <w:color w:val="000000"/>
          <w:sz w:val="96"/>
          <w:szCs w:val="96"/>
        </w:rPr>
      </w:pPr>
    </w:p>
    <w:p>
      <w:pPr>
        <w:widowControl/>
        <w:jc w:val="center"/>
        <w:rPr>
          <w:rFonts w:ascii="黑体" w:eastAsia="黑体"/>
          <w:color w:val="000000"/>
          <w:sz w:val="96"/>
          <w:szCs w:val="96"/>
        </w:rPr>
      </w:pPr>
    </w:p>
    <w:p>
      <w:pPr>
        <w:widowControl/>
        <w:jc w:val="center"/>
        <w:rPr>
          <w:rFonts w:hint="eastAsia" w:ascii="仿宋" w:eastAsia="仿宋" w:cs="仿宋"/>
          <w:color w:val="000000"/>
          <w:sz w:val="96"/>
          <w:szCs w:val="96"/>
        </w:rPr>
      </w:pPr>
      <w:r>
        <w:rPr>
          <w:rFonts w:hint="eastAsia" w:ascii="仿宋" w:eastAsia="仿宋" w:cs="仿宋"/>
          <w:color w:val="000000"/>
          <w:sz w:val="96"/>
          <w:szCs w:val="96"/>
        </w:rPr>
        <w:t>第一部分  部门概况</w:t>
      </w:r>
    </w:p>
    <w:p>
      <w:pPr>
        <w:widowControl/>
        <w:jc w:val="center"/>
        <w:rPr>
          <w:color w:val="000000"/>
          <w:sz w:val="96"/>
          <w:szCs w:val="96"/>
        </w:rPr>
      </w:pPr>
    </w:p>
    <w:p>
      <w:pPr>
        <w:widowControl/>
        <w:jc w:val="center"/>
        <w:rPr>
          <w:color w:val="000000"/>
          <w:sz w:val="96"/>
          <w:szCs w:val="96"/>
        </w:rPr>
      </w:pPr>
    </w:p>
    <w:p>
      <w:pPr>
        <w:widowControl/>
        <w:jc w:val="center"/>
        <w:rPr>
          <w:color w:val="000000"/>
          <w:sz w:val="96"/>
          <w:szCs w:val="96"/>
        </w:rPr>
      </w:pPr>
    </w:p>
    <w:p>
      <w:pPr>
        <w:widowControl/>
        <w:jc w:val="center"/>
        <w:rPr>
          <w:color w:val="000000"/>
          <w:sz w:val="96"/>
          <w:szCs w:val="96"/>
        </w:rPr>
      </w:pPr>
    </w:p>
    <w:p>
      <w:pPr>
        <w:pStyle w:val="2"/>
        <w:spacing w:before="0" w:after="0" w:line="600" w:lineRule="exact"/>
        <w:ind w:firstLine="640" w:firstLineChars="200"/>
        <w:jc w:val="left"/>
        <w:rPr>
          <w:rFonts w:ascii="黑体" w:eastAsia="黑体" w:cs="黑体"/>
          <w:b w:val="0"/>
          <w:bCs w:val="0"/>
          <w:kern w:val="0"/>
          <w:sz w:val="32"/>
          <w:szCs w:val="32"/>
        </w:rPr>
      </w:pPr>
      <w:r>
        <w:rPr>
          <w:rFonts w:hint="eastAsia" w:ascii="仿宋" w:eastAsia="仿宋" w:cs="仿宋"/>
          <w:b w:val="0"/>
          <w:bCs w:val="0"/>
          <w:kern w:val="0"/>
          <w:sz w:val="32"/>
          <w:szCs w:val="32"/>
        </w:rPr>
        <w:t>一、部门职责</w:t>
      </w:r>
    </w:p>
    <w:p>
      <w:pPr>
        <w:pageBreakBefore w:val="0"/>
        <w:widowControl w:val="0"/>
        <w:kinsoku/>
        <w:wordWrap/>
        <w:overflowPunct/>
        <w:topLinePunct w:val="0"/>
        <w:autoSpaceDE w:val="0"/>
        <w:autoSpaceDN w:val="0"/>
        <w:bidi w:val="0"/>
        <w:adjustRightInd w:val="0"/>
        <w:snapToGrid/>
        <w:spacing w:after="0" w:line="560" w:lineRule="exact"/>
        <w:ind w:firstLine="640" w:firstLineChars="200"/>
        <w:jc w:val="left"/>
        <w:textAlignment w:val="auto"/>
        <w:rPr>
          <w:rFonts w:hint="eastAsia" w:ascii="仿宋_GB2312" w:eastAsia="仿宋_GB2312" w:cs="ArialUnicodeMS"/>
          <w:kern w:val="0"/>
          <w:sz w:val="32"/>
          <w:szCs w:val="32"/>
          <w:highlight w:val="none"/>
        </w:rPr>
      </w:pPr>
      <w:r>
        <w:rPr>
          <w:rFonts w:hint="eastAsia" w:ascii="仿宋_GB2312" w:eastAsia="仿宋_GB2312" w:cs="ArialUnicodeMS"/>
          <w:kern w:val="0"/>
          <w:sz w:val="32"/>
          <w:szCs w:val="32"/>
          <w:highlight w:val="none"/>
        </w:rPr>
        <w:t>部门职责：</w:t>
      </w:r>
    </w:p>
    <w:p>
      <w:pPr>
        <w:autoSpaceDE w:val="0"/>
        <w:autoSpaceDN w:val="0"/>
        <w:adjustRightInd w:val="0"/>
        <w:spacing w:after="0" w:line="560" w:lineRule="exact"/>
        <w:ind w:firstLine="640" w:firstLineChars="200"/>
        <w:jc w:val="left"/>
        <w:rPr>
          <w:rFonts w:hint="eastAsia" w:ascii="仿宋" w:eastAsia="仿宋" w:cs="仿宋"/>
          <w:kern w:val="0"/>
          <w:sz w:val="32"/>
          <w:szCs w:val="32"/>
        </w:rPr>
      </w:pPr>
      <w:r>
        <w:rPr>
          <w:rFonts w:hint="eastAsia" w:ascii="仿宋" w:eastAsia="仿宋" w:cs="仿宋"/>
          <w:kern w:val="0"/>
          <w:sz w:val="32"/>
          <w:szCs w:val="32"/>
        </w:rPr>
        <w:t>（一）负责全市理论研究、理论学习、理论宣传工作和市委理论学习中心组理论学习的有关工作；</w:t>
      </w:r>
    </w:p>
    <w:p>
      <w:pPr>
        <w:autoSpaceDE w:val="0"/>
        <w:autoSpaceDN w:val="0"/>
        <w:adjustRightInd w:val="0"/>
        <w:spacing w:after="0" w:line="560" w:lineRule="exact"/>
        <w:ind w:firstLine="640" w:firstLineChars="200"/>
        <w:jc w:val="left"/>
        <w:rPr>
          <w:rFonts w:hint="eastAsia" w:ascii="仿宋" w:eastAsia="仿宋" w:cs="仿宋"/>
          <w:kern w:val="0"/>
          <w:sz w:val="32"/>
          <w:szCs w:val="32"/>
        </w:rPr>
      </w:pPr>
      <w:r>
        <w:rPr>
          <w:rFonts w:hint="eastAsia" w:ascii="仿宋" w:eastAsia="仿宋" w:cs="仿宋"/>
          <w:kern w:val="0"/>
          <w:sz w:val="32"/>
          <w:szCs w:val="32"/>
        </w:rPr>
        <w:t>（二）负责引导社会舆论、协调全市各级新闻单位的工作；对市广播电视台、霸州市报社的工作实施方针、政策的指导。</w:t>
      </w:r>
    </w:p>
    <w:p>
      <w:pPr>
        <w:autoSpaceDE w:val="0"/>
        <w:autoSpaceDN w:val="0"/>
        <w:adjustRightInd w:val="0"/>
        <w:spacing w:after="0" w:line="560" w:lineRule="exact"/>
        <w:ind w:firstLine="640" w:firstLineChars="200"/>
        <w:jc w:val="left"/>
        <w:rPr>
          <w:rFonts w:hint="eastAsia" w:ascii="仿宋" w:eastAsia="仿宋" w:cs="仿宋"/>
          <w:kern w:val="0"/>
          <w:sz w:val="32"/>
          <w:szCs w:val="32"/>
        </w:rPr>
      </w:pPr>
      <w:r>
        <w:rPr>
          <w:rFonts w:hint="eastAsia" w:ascii="仿宋" w:eastAsia="仿宋" w:cs="仿宋"/>
          <w:kern w:val="0"/>
          <w:sz w:val="32"/>
          <w:szCs w:val="32"/>
        </w:rPr>
        <w:t>（三）负责从宏观上指导全市精神产品生产和文化市场管理。对市文广新局和市文联的工作实施方针、政策的指导。</w:t>
      </w:r>
    </w:p>
    <w:p>
      <w:pPr>
        <w:autoSpaceDE w:val="0"/>
        <w:autoSpaceDN w:val="0"/>
        <w:adjustRightInd w:val="0"/>
        <w:spacing w:after="0" w:line="560" w:lineRule="exact"/>
        <w:ind w:firstLine="640" w:firstLineChars="200"/>
        <w:jc w:val="left"/>
        <w:rPr>
          <w:rFonts w:hint="eastAsia" w:ascii="仿宋" w:eastAsia="仿宋" w:cs="仿宋"/>
          <w:kern w:val="0"/>
          <w:sz w:val="32"/>
          <w:szCs w:val="32"/>
        </w:rPr>
      </w:pPr>
      <w:r>
        <w:rPr>
          <w:rFonts w:hint="eastAsia" w:ascii="仿宋" w:eastAsia="仿宋" w:cs="仿宋"/>
          <w:kern w:val="0"/>
          <w:sz w:val="32"/>
          <w:szCs w:val="32"/>
        </w:rPr>
        <w:t>（四）负责规划、部署全局性的思想政治工作任务，组织对全市性先进典型的学习推广；负责基层党员教育工作；负责全市爱国主义教育基地的建设、管理、使用；领导全市思想政治工作研究会。</w:t>
      </w:r>
    </w:p>
    <w:p>
      <w:pPr>
        <w:autoSpaceDE w:val="0"/>
        <w:autoSpaceDN w:val="0"/>
        <w:adjustRightInd w:val="0"/>
        <w:spacing w:after="0" w:line="560" w:lineRule="exact"/>
        <w:ind w:firstLine="640" w:firstLineChars="200"/>
        <w:jc w:val="left"/>
        <w:rPr>
          <w:rFonts w:hint="eastAsia" w:ascii="仿宋" w:eastAsia="仿宋" w:cs="仿宋"/>
          <w:kern w:val="0"/>
          <w:sz w:val="32"/>
          <w:szCs w:val="32"/>
        </w:rPr>
      </w:pPr>
      <w:r>
        <w:rPr>
          <w:rFonts w:hint="eastAsia" w:ascii="仿宋" w:eastAsia="仿宋" w:cs="仿宋"/>
          <w:kern w:val="0"/>
          <w:sz w:val="32"/>
          <w:szCs w:val="32"/>
        </w:rPr>
        <w:t>（五）负责市直文化系统股级干部的管理工作；制定全市宣传文化系统股级干部和业务骨干的培训规划并组织实施；联系宣传文化系统的知识分子，配合有关部门做好知识分子工作；负责全市政工职称评定、管理工作。</w:t>
      </w:r>
    </w:p>
    <w:p>
      <w:pPr>
        <w:autoSpaceDE w:val="0"/>
        <w:autoSpaceDN w:val="0"/>
        <w:adjustRightInd w:val="0"/>
        <w:spacing w:after="0" w:line="560" w:lineRule="exact"/>
        <w:ind w:firstLine="640" w:firstLineChars="200"/>
        <w:jc w:val="left"/>
        <w:rPr>
          <w:rFonts w:hint="eastAsia" w:ascii="仿宋" w:eastAsia="仿宋" w:cs="仿宋"/>
          <w:kern w:val="0"/>
          <w:sz w:val="32"/>
          <w:szCs w:val="32"/>
        </w:rPr>
      </w:pPr>
      <w:r>
        <w:rPr>
          <w:rFonts w:hint="eastAsia" w:ascii="仿宋" w:eastAsia="仿宋" w:cs="仿宋"/>
          <w:kern w:val="0"/>
          <w:sz w:val="32"/>
          <w:szCs w:val="32"/>
        </w:rPr>
        <w:t>（六）负责指导、组织、协调全市对外宣传工作和对外文化交流联络工作，完成廊坊市外宣局交办的各项工作。</w:t>
      </w:r>
    </w:p>
    <w:p>
      <w:pPr>
        <w:autoSpaceDE w:val="0"/>
        <w:autoSpaceDN w:val="0"/>
        <w:adjustRightInd w:val="0"/>
        <w:spacing w:after="0" w:line="560" w:lineRule="exact"/>
        <w:ind w:firstLine="640" w:firstLineChars="200"/>
        <w:jc w:val="left"/>
        <w:rPr>
          <w:rFonts w:hint="eastAsia" w:ascii="仿宋" w:eastAsia="仿宋" w:cs="仿宋"/>
          <w:kern w:val="0"/>
          <w:sz w:val="32"/>
          <w:szCs w:val="32"/>
        </w:rPr>
      </w:pPr>
      <w:r>
        <w:rPr>
          <w:rFonts w:hint="eastAsia" w:ascii="仿宋" w:eastAsia="仿宋" w:cs="仿宋"/>
          <w:kern w:val="0"/>
          <w:sz w:val="32"/>
          <w:szCs w:val="32"/>
        </w:rPr>
        <w:t>（七）负责提出全市宣传思想文化事业发展的思路，指导文化系统制定有关政策，按照市委的工作部署，协调宣传文化系统各部门之间的关系。</w:t>
      </w:r>
    </w:p>
    <w:p>
      <w:pPr>
        <w:autoSpaceDE w:val="0"/>
        <w:autoSpaceDN w:val="0"/>
        <w:adjustRightInd w:val="0"/>
        <w:spacing w:after="0" w:line="560" w:lineRule="exact"/>
        <w:ind w:firstLine="640" w:firstLineChars="200"/>
        <w:jc w:val="left"/>
        <w:rPr>
          <w:rFonts w:hint="eastAsia" w:ascii="仿宋" w:eastAsia="仿宋" w:cs="仿宋"/>
          <w:kern w:val="0"/>
          <w:sz w:val="32"/>
          <w:szCs w:val="32"/>
        </w:rPr>
      </w:pPr>
      <w:r>
        <w:rPr>
          <w:rFonts w:hint="eastAsia" w:ascii="仿宋" w:eastAsia="仿宋" w:cs="仿宋"/>
          <w:kern w:val="0"/>
          <w:sz w:val="32"/>
          <w:szCs w:val="32"/>
        </w:rPr>
        <w:t>（八）研究提出有关全市精神文明建设的政策和意见，规划、部署全市精神文明建设工作，组织指导全市群众性精神文明创建活动。</w:t>
      </w:r>
    </w:p>
    <w:p>
      <w:pPr>
        <w:autoSpaceDE w:val="0"/>
        <w:autoSpaceDN w:val="0"/>
        <w:adjustRightInd w:val="0"/>
        <w:spacing w:after="0" w:line="560" w:lineRule="exact"/>
        <w:ind w:firstLine="640" w:firstLineChars="200"/>
        <w:jc w:val="left"/>
        <w:rPr>
          <w:rFonts w:hint="eastAsia" w:ascii="仿宋" w:eastAsia="仿宋" w:cs="仿宋"/>
          <w:kern w:val="0"/>
          <w:sz w:val="32"/>
          <w:szCs w:val="32"/>
        </w:rPr>
      </w:pPr>
      <w:r>
        <w:rPr>
          <w:rFonts w:hint="eastAsia" w:ascii="仿宋" w:eastAsia="仿宋" w:cs="仿宋"/>
          <w:kern w:val="0"/>
          <w:sz w:val="32"/>
          <w:szCs w:val="32"/>
        </w:rPr>
        <w:t>（九）按照规定，会同武装部管理市国防教育领导小组办公室的工作。</w:t>
      </w:r>
    </w:p>
    <w:p>
      <w:pPr>
        <w:pStyle w:val="2"/>
        <w:spacing w:before="0" w:after="0" w:line="600" w:lineRule="exact"/>
        <w:ind w:firstLine="640" w:firstLineChars="200"/>
        <w:jc w:val="left"/>
        <w:rPr>
          <w:rFonts w:hint="eastAsia" w:ascii="仿宋" w:eastAsia="仿宋" w:cs="仿宋"/>
          <w:b w:val="0"/>
          <w:bCs w:val="0"/>
          <w:kern w:val="0"/>
          <w:sz w:val="32"/>
          <w:szCs w:val="32"/>
        </w:rPr>
      </w:pPr>
      <w:r>
        <w:rPr>
          <w:rFonts w:hint="eastAsia" w:ascii="仿宋" w:eastAsia="仿宋" w:cs="仿宋"/>
          <w:b w:val="0"/>
          <w:bCs w:val="0"/>
          <w:kern w:val="0"/>
          <w:sz w:val="32"/>
          <w:szCs w:val="32"/>
        </w:rPr>
        <w:t>二、机构设置</w:t>
      </w:r>
    </w:p>
    <w:p>
      <w:pPr>
        <w:spacing w:after="0" w:line="560" w:lineRule="exact"/>
        <w:ind w:firstLine="640" w:firstLineChars="200"/>
        <w:rPr>
          <w:rFonts w:hint="eastAsia" w:ascii="仿宋" w:eastAsia="仿宋" w:cs="仿宋"/>
          <w:kern w:val="0"/>
          <w:sz w:val="32"/>
          <w:szCs w:val="32"/>
        </w:rPr>
      </w:pPr>
      <w:r>
        <w:rPr>
          <w:rFonts w:hint="eastAsia" w:ascii="仿宋" w:eastAsia="仿宋" w:cs="仿宋"/>
          <w:kern w:val="0"/>
          <w:sz w:val="32"/>
          <w:szCs w:val="32"/>
        </w:rPr>
        <w:t xml:space="preserve">从决算编报单位构成看，纳入2019年度本部门决算汇编范围的独立核算单位（以下简称“单位”）共  </w:t>
      </w:r>
      <w:r>
        <w:rPr>
          <w:rFonts w:hint="eastAsia" w:ascii="仿宋" w:eastAsia="仿宋" w:cs="仿宋"/>
          <w:kern w:val="0"/>
          <w:sz w:val="32"/>
          <w:szCs w:val="32"/>
          <w:lang w:val="en-US" w:eastAsia="zh-CN"/>
        </w:rPr>
        <w:t>2</w:t>
      </w:r>
      <w:r>
        <w:rPr>
          <w:rFonts w:hint="eastAsia" w:ascii="仿宋" w:eastAsia="仿宋" w:cs="仿宋"/>
          <w:kern w:val="0"/>
          <w:sz w:val="32"/>
          <w:szCs w:val="32"/>
        </w:rPr>
        <w:t xml:space="preserve"> 个，具体情况如下：</w:t>
      </w:r>
    </w:p>
    <w:tbl>
      <w:tblPr>
        <w:tblStyle w:val="13"/>
        <w:tblW w:w="5296"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022"/>
        <w:gridCol w:w="3424"/>
        <w:gridCol w:w="2500"/>
        <w:gridCol w:w="265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1" w:hRule="atLeast"/>
          <w:tblHeader/>
          <w:jc w:val="center"/>
        </w:trPr>
        <w:tc>
          <w:tcPr>
            <w:tcW w:w="532" w:type="pct"/>
            <w:vAlign w:val="center"/>
          </w:tcPr>
          <w:p>
            <w:pPr>
              <w:spacing w:after="0" w:line="560" w:lineRule="exact"/>
              <w:jc w:val="center"/>
              <w:rPr>
                <w:rFonts w:hint="eastAsia" w:ascii="仿宋" w:eastAsia="仿宋" w:cs="仿宋"/>
                <w:b/>
                <w:szCs w:val="20"/>
              </w:rPr>
            </w:pPr>
            <w:r>
              <w:rPr>
                <w:rFonts w:hint="eastAsia" w:ascii="仿宋" w:eastAsia="仿宋" w:cs="仿宋"/>
                <w:b/>
                <w:szCs w:val="20"/>
              </w:rPr>
              <w:t>序号</w:t>
            </w:r>
          </w:p>
        </w:tc>
        <w:tc>
          <w:tcPr>
            <w:tcW w:w="1783" w:type="pct"/>
            <w:vAlign w:val="center"/>
          </w:tcPr>
          <w:p>
            <w:pPr>
              <w:spacing w:after="0" w:line="560" w:lineRule="exact"/>
              <w:ind w:firstLine="422" w:firstLineChars="200"/>
              <w:jc w:val="center"/>
              <w:rPr>
                <w:rFonts w:hint="eastAsia" w:ascii="仿宋" w:eastAsia="仿宋" w:cs="仿宋"/>
                <w:b/>
                <w:szCs w:val="20"/>
              </w:rPr>
            </w:pPr>
            <w:r>
              <w:rPr>
                <w:rFonts w:hint="eastAsia" w:ascii="仿宋" w:eastAsia="仿宋" w:cs="仿宋"/>
                <w:b/>
                <w:szCs w:val="20"/>
              </w:rPr>
              <w:t>单位名称</w:t>
            </w:r>
          </w:p>
        </w:tc>
        <w:tc>
          <w:tcPr>
            <w:tcW w:w="1302" w:type="pct"/>
            <w:vAlign w:val="center"/>
          </w:tcPr>
          <w:p>
            <w:pPr>
              <w:spacing w:after="0" w:line="560" w:lineRule="exact"/>
              <w:ind w:firstLine="422" w:firstLineChars="200"/>
              <w:jc w:val="center"/>
              <w:rPr>
                <w:rFonts w:hint="eastAsia" w:ascii="仿宋" w:eastAsia="仿宋" w:cs="仿宋"/>
                <w:b/>
                <w:szCs w:val="20"/>
              </w:rPr>
            </w:pPr>
            <w:r>
              <w:rPr>
                <w:rFonts w:hint="eastAsia" w:ascii="仿宋" w:eastAsia="仿宋" w:cs="仿宋"/>
                <w:b/>
                <w:szCs w:val="20"/>
              </w:rPr>
              <w:t>单位基本性质</w:t>
            </w:r>
          </w:p>
        </w:tc>
        <w:tc>
          <w:tcPr>
            <w:tcW w:w="1380" w:type="pct"/>
            <w:vAlign w:val="center"/>
          </w:tcPr>
          <w:p>
            <w:pPr>
              <w:spacing w:after="0" w:line="560" w:lineRule="exact"/>
              <w:ind w:firstLine="422" w:firstLineChars="200"/>
              <w:jc w:val="center"/>
              <w:rPr>
                <w:rFonts w:hint="eastAsia" w:ascii="仿宋" w:eastAsia="仿宋" w:cs="仿宋"/>
                <w:b/>
                <w:szCs w:val="20"/>
              </w:rPr>
            </w:pPr>
            <w:r>
              <w:rPr>
                <w:rFonts w:hint="eastAsia" w:ascii="仿宋" w:eastAsia="仿宋" w:cs="仿宋"/>
                <w:b/>
                <w:szCs w:val="20"/>
              </w:rPr>
              <w:t>经费形式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1" w:hRule="atLeast"/>
          <w:jc w:val="center"/>
        </w:trPr>
        <w:tc>
          <w:tcPr>
            <w:tcW w:w="532" w:type="pct"/>
          </w:tcPr>
          <w:p>
            <w:pPr>
              <w:spacing w:after="0" w:line="240" w:lineRule="auto"/>
              <w:jc w:val="center"/>
              <w:rPr>
                <w:rFonts w:hint="eastAsia" w:ascii="仿宋" w:eastAsia="仿宋" w:cs="仿宋"/>
                <w:szCs w:val="20"/>
              </w:rPr>
            </w:pPr>
            <w:r>
              <w:rPr>
                <w:rFonts w:hint="eastAsia" w:ascii="仿宋" w:eastAsia="仿宋" w:cs="仿宋"/>
                <w:szCs w:val="20"/>
              </w:rPr>
              <w:t>1</w:t>
            </w:r>
          </w:p>
        </w:tc>
        <w:tc>
          <w:tcPr>
            <w:tcW w:w="1783" w:type="pct"/>
          </w:tcPr>
          <w:p>
            <w:pPr>
              <w:spacing w:after="0" w:line="240" w:lineRule="auto"/>
              <w:rPr>
                <w:rFonts w:hint="eastAsia" w:ascii="仿宋" w:eastAsia="仿宋" w:cs="仿宋"/>
                <w:szCs w:val="20"/>
              </w:rPr>
            </w:pPr>
            <w:r>
              <w:rPr>
                <w:rFonts w:hint="eastAsia" w:ascii="仿宋" w:eastAsia="仿宋" w:cs="仿宋"/>
                <w:szCs w:val="20"/>
              </w:rPr>
              <w:t>中国共产党霸州市委员会宣传部</w:t>
            </w:r>
          </w:p>
        </w:tc>
        <w:tc>
          <w:tcPr>
            <w:tcW w:w="1302" w:type="pct"/>
          </w:tcPr>
          <w:p>
            <w:pPr>
              <w:spacing w:after="0" w:line="240" w:lineRule="auto"/>
              <w:rPr>
                <w:rFonts w:hint="eastAsia" w:ascii="仿宋" w:eastAsia="仿宋" w:cs="仿宋"/>
                <w:szCs w:val="20"/>
              </w:rPr>
            </w:pPr>
            <w:r>
              <w:rPr>
                <w:rFonts w:hint="eastAsia" w:ascii="仿宋" w:eastAsia="仿宋" w:cs="仿宋"/>
                <w:szCs w:val="20"/>
              </w:rPr>
              <w:t>行政</w:t>
            </w:r>
          </w:p>
        </w:tc>
        <w:tc>
          <w:tcPr>
            <w:tcW w:w="1380" w:type="pct"/>
          </w:tcPr>
          <w:p>
            <w:pPr>
              <w:spacing w:after="0" w:line="240" w:lineRule="auto"/>
              <w:rPr>
                <w:rFonts w:hint="eastAsia" w:ascii="仿宋" w:eastAsia="仿宋" w:cs="仿宋"/>
                <w:szCs w:val="20"/>
              </w:rPr>
            </w:pPr>
            <w:r>
              <w:rPr>
                <w:rFonts w:hint="eastAsia" w:ascii="仿宋" w:eastAsia="仿宋" w:cs="仿宋"/>
                <w:szCs w:val="20"/>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1" w:hRule="atLeast"/>
          <w:jc w:val="center"/>
        </w:trPr>
        <w:tc>
          <w:tcPr>
            <w:tcW w:w="532" w:type="pct"/>
            <w:vAlign w:val="center"/>
          </w:tcPr>
          <w:p>
            <w:pPr>
              <w:spacing w:after="0" w:line="300" w:lineRule="exact"/>
              <w:jc w:val="center"/>
              <w:rPr>
                <w:rFonts w:hint="eastAsia" w:ascii="仿宋" w:eastAsia="仿宋" w:cs="仿宋"/>
                <w:szCs w:val="20"/>
              </w:rPr>
            </w:pPr>
            <w:r>
              <w:rPr>
                <w:rFonts w:hint="eastAsia" w:ascii="仿宋" w:eastAsia="仿宋" w:cs="仿宋"/>
                <w:szCs w:val="20"/>
              </w:rPr>
              <w:t>2</w:t>
            </w:r>
          </w:p>
        </w:tc>
        <w:tc>
          <w:tcPr>
            <w:tcW w:w="1783" w:type="pct"/>
            <w:vAlign w:val="center"/>
          </w:tcPr>
          <w:p>
            <w:pPr>
              <w:spacing w:after="0" w:line="300" w:lineRule="exact"/>
              <w:jc w:val="left"/>
              <w:rPr>
                <w:rFonts w:hint="eastAsia" w:ascii="仿宋" w:eastAsia="仿宋" w:cs="仿宋"/>
                <w:szCs w:val="20"/>
              </w:rPr>
            </w:pPr>
            <w:r>
              <w:rPr>
                <w:rFonts w:hint="eastAsia" w:ascii="仿宋" w:eastAsia="仿宋" w:cs="仿宋"/>
                <w:szCs w:val="20"/>
              </w:rPr>
              <w:t>《新霸州》编辑部</w:t>
            </w:r>
          </w:p>
        </w:tc>
        <w:tc>
          <w:tcPr>
            <w:tcW w:w="1302" w:type="pct"/>
            <w:vAlign w:val="center"/>
          </w:tcPr>
          <w:p>
            <w:pPr>
              <w:spacing w:after="0" w:line="300" w:lineRule="exact"/>
              <w:rPr>
                <w:rFonts w:hint="eastAsia" w:ascii="仿宋" w:eastAsia="仿宋" w:cs="仿宋"/>
                <w:szCs w:val="20"/>
              </w:rPr>
            </w:pPr>
            <w:r>
              <w:rPr>
                <w:rFonts w:hint="eastAsia" w:ascii="仿宋" w:eastAsia="仿宋" w:cs="仿宋"/>
                <w:szCs w:val="20"/>
              </w:rPr>
              <w:t>差额事业</w:t>
            </w:r>
          </w:p>
        </w:tc>
        <w:tc>
          <w:tcPr>
            <w:tcW w:w="1380" w:type="pct"/>
            <w:vAlign w:val="center"/>
          </w:tcPr>
          <w:p>
            <w:pPr>
              <w:spacing w:after="0" w:line="300" w:lineRule="exact"/>
              <w:rPr>
                <w:rFonts w:hint="eastAsia" w:ascii="仿宋" w:eastAsia="仿宋" w:cs="仿宋"/>
                <w:szCs w:val="20"/>
              </w:rPr>
            </w:pPr>
            <w:r>
              <w:rPr>
                <w:rFonts w:hint="eastAsia" w:ascii="仿宋" w:eastAsia="仿宋" w:cs="仿宋"/>
                <w:szCs w:val="20"/>
              </w:rPr>
              <w:t>财政性资金定额或定向补助</w:t>
            </w:r>
          </w:p>
        </w:tc>
      </w:tr>
    </w:tbl>
    <w:p>
      <w:pPr>
        <w:widowControl/>
        <w:spacing w:line="560" w:lineRule="exact"/>
        <w:rPr>
          <w:rFonts w:ascii="黑体" w:eastAsia="黑体" w:cs="MS-UIGothic,Bold"/>
          <w:bCs/>
          <w:kern w:val="0"/>
          <w:sz w:val="52"/>
          <w:szCs w:val="52"/>
        </w:rPr>
      </w:pPr>
    </w:p>
    <w:p>
      <w:pPr>
        <w:widowControl/>
        <w:spacing w:line="560" w:lineRule="exact"/>
        <w:jc w:val="center"/>
        <w:rPr>
          <w:rFonts w:ascii="黑体" w:eastAsia="黑体" w:cs="MS-UIGothic,Bold"/>
          <w:bCs/>
          <w:kern w:val="0"/>
          <w:sz w:val="52"/>
          <w:szCs w:val="52"/>
        </w:rPr>
        <w:sectPr>
          <w:pgSz w:w="11906" w:h="16838"/>
          <w:pgMar w:top="2098" w:right="1474" w:bottom="1984" w:left="1588" w:header="851" w:footer="992" w:gutter="0"/>
          <w:docGrid w:type="lines" w:linePitch="312" w:charSpace="0"/>
        </w:sectPr>
      </w:pPr>
    </w:p>
    <w:p>
      <w:pPr>
        <w:widowControl/>
        <w:spacing w:line="1200" w:lineRule="exact"/>
        <w:jc w:val="center"/>
        <w:rPr>
          <w:rFonts w:ascii="黑体" w:eastAsia="黑体"/>
          <w:color w:val="000000"/>
          <w:sz w:val="96"/>
          <w:szCs w:val="96"/>
        </w:rPr>
      </w:pPr>
    </w:p>
    <w:p>
      <w:pPr>
        <w:widowControl/>
        <w:spacing w:line="1200" w:lineRule="exact"/>
        <w:jc w:val="center"/>
        <w:rPr>
          <w:rFonts w:ascii="黑体" w:eastAsia="黑体"/>
          <w:color w:val="000000"/>
          <w:sz w:val="96"/>
          <w:szCs w:val="96"/>
        </w:rPr>
      </w:pPr>
    </w:p>
    <w:p>
      <w:pPr>
        <w:widowControl/>
        <w:spacing w:line="1200" w:lineRule="exact"/>
        <w:jc w:val="center"/>
        <w:rPr>
          <w:rFonts w:ascii="黑体" w:eastAsia="黑体"/>
          <w:color w:val="000000"/>
          <w:sz w:val="96"/>
          <w:szCs w:val="96"/>
        </w:rPr>
      </w:pPr>
    </w:p>
    <w:p>
      <w:pPr>
        <w:widowControl/>
        <w:spacing w:line="1200" w:lineRule="exact"/>
        <w:jc w:val="center"/>
        <w:rPr>
          <w:rFonts w:hint="eastAsia" w:ascii="仿宋" w:eastAsia="仿宋" w:cs="仿宋"/>
          <w:color w:val="000000"/>
          <w:sz w:val="96"/>
          <w:szCs w:val="96"/>
        </w:rPr>
      </w:pPr>
      <w:r>
        <w:rPr>
          <w:rFonts w:hint="eastAsia" w:ascii="仿宋" w:eastAsia="仿宋" w:cs="仿宋"/>
          <w:color w:val="000000"/>
          <w:sz w:val="96"/>
          <w:szCs w:val="96"/>
        </w:rPr>
        <w:t>第二部分</w:t>
      </w:r>
    </w:p>
    <w:p>
      <w:pPr>
        <w:widowControl/>
        <w:spacing w:line="1200" w:lineRule="exact"/>
        <w:jc w:val="center"/>
        <w:rPr>
          <w:rFonts w:hint="eastAsia" w:ascii="仿宋" w:eastAsia="仿宋" w:cs="仿宋"/>
          <w:color w:val="000000"/>
          <w:sz w:val="96"/>
          <w:szCs w:val="96"/>
        </w:rPr>
      </w:pPr>
      <w:r>
        <w:rPr>
          <w:rFonts w:hint="eastAsia" w:ascii="仿宋" w:eastAsia="仿宋" w:cs="仿宋"/>
          <w:color w:val="000000"/>
          <w:sz w:val="96"/>
          <w:szCs w:val="96"/>
        </w:rPr>
        <w:t>2019年部门决算</w:t>
      </w:r>
    </w:p>
    <w:p>
      <w:pPr>
        <w:widowControl/>
        <w:spacing w:line="1200" w:lineRule="exact"/>
        <w:jc w:val="center"/>
        <w:rPr>
          <w:rFonts w:hint="eastAsia" w:ascii="仿宋" w:eastAsia="仿宋" w:cs="仿宋"/>
          <w:color w:val="000000"/>
          <w:sz w:val="96"/>
          <w:szCs w:val="96"/>
        </w:rPr>
      </w:pPr>
      <w:r>
        <w:rPr>
          <w:rFonts w:hint="eastAsia" w:ascii="仿宋" w:eastAsia="仿宋" w:cs="仿宋"/>
          <w:color w:val="000000"/>
          <w:sz w:val="96"/>
          <w:szCs w:val="96"/>
        </w:rPr>
        <w:t>情况说明</w:t>
      </w:r>
    </w:p>
    <w:p>
      <w:pPr>
        <w:rPr>
          <w:rFonts w:hint="eastAsia" w:ascii="仿宋" w:eastAsia="仿宋" w:cs="仿宋"/>
          <w:color w:val="000000"/>
          <w:kern w:val="0"/>
        </w:rPr>
        <w:sectPr>
          <w:pgSz w:w="11906" w:h="16838"/>
          <w:pgMar w:top="2098" w:right="1474" w:bottom="1984" w:left="1588" w:header="851" w:footer="992" w:gutter="0"/>
          <w:docGrid w:type="lines" w:linePitch="312" w:charSpace="0"/>
        </w:sectPr>
      </w:pPr>
    </w:p>
    <w:p>
      <w:pPr>
        <w:pStyle w:val="3"/>
        <w:spacing w:before="0" w:after="0" w:line="580" w:lineRule="exact"/>
        <w:ind w:firstLine="640" w:firstLineChars="200"/>
        <w:rPr>
          <w:rFonts w:hint="eastAsia" w:ascii="仿宋" w:eastAsia="仿宋" w:cs="仿宋"/>
          <w:b w:val="0"/>
          <w:bCs w:val="0"/>
        </w:rPr>
      </w:pPr>
      <w:r>
        <w:rPr>
          <w:rFonts w:hint="eastAsia" w:ascii="仿宋" w:eastAsia="仿宋" w:cs="仿宋"/>
          <w:b w:val="0"/>
          <w:bCs w:val="0"/>
        </w:rPr>
        <w:t>一、收入</w:t>
      </w:r>
      <w:r>
        <w:rPr>
          <w:rFonts w:hint="eastAsia" w:ascii="仿宋" w:eastAsia="仿宋" w:cs="仿宋"/>
          <w:b w:val="0"/>
          <w:bCs w:val="0"/>
          <w:kern w:val="0"/>
        </w:rPr>
        <w:t>支出</w:t>
      </w:r>
      <w:r>
        <w:rPr>
          <w:rFonts w:hint="eastAsia" w:ascii="仿宋" w:eastAsia="仿宋" w:cs="仿宋"/>
          <w:b w:val="0"/>
          <w:bCs w:val="0"/>
        </w:rPr>
        <w:t>决算总体情况说明</w:t>
      </w:r>
    </w:p>
    <w:p>
      <w:pPr>
        <w:adjustRightInd w:val="0"/>
        <w:snapToGrid w:val="0"/>
        <w:spacing w:after="0" w:line="580" w:lineRule="exact"/>
        <w:ind w:firstLine="640" w:firstLineChars="200"/>
        <w:rPr>
          <w:rFonts w:hint="eastAsia" w:ascii="仿宋" w:eastAsia="仿宋" w:cs="仿宋"/>
          <w:sz w:val="32"/>
          <w:szCs w:val="32"/>
          <w:highlight w:val="none"/>
        </w:rPr>
      </w:pPr>
      <w:r>
        <w:rPr>
          <w:rFonts w:hint="eastAsia" w:ascii="仿宋" w:eastAsia="仿宋" w:cs="仿宋"/>
          <w:sz w:val="32"/>
          <w:szCs w:val="32"/>
        </w:rPr>
        <w:t>本部门2019年度收支总计（含结转和结余）1902.92万元。与2018年度决算相比，收入增加474.79万元，增长33.26%，主要是2019年度创</w:t>
      </w:r>
      <w:r>
        <w:rPr>
          <w:rFonts w:hint="eastAsia" w:ascii="仿宋" w:eastAsia="仿宋" w:cs="仿宋"/>
          <w:sz w:val="32"/>
          <w:szCs w:val="32"/>
          <w:highlight w:val="none"/>
        </w:rPr>
        <w:t>城经费和霸州市融媒体中心项目建设资金收入增加，其他收入增加；支出增加474.79万元，增长33.26%，主要是2019年度霸州市融媒体中心建设项目资金以及创城经费支出增加。</w:t>
      </w:r>
    </w:p>
    <w:p>
      <w:pPr>
        <w:adjustRightInd w:val="0"/>
        <w:snapToGrid w:val="0"/>
        <w:spacing w:after="0" w:line="580" w:lineRule="exact"/>
        <w:ind w:firstLine="640" w:firstLineChars="200"/>
        <w:rPr>
          <w:rFonts w:hint="eastAsia" w:ascii="仿宋" w:eastAsia="仿宋" w:cs="仿宋"/>
          <w:sz w:val="32"/>
          <w:szCs w:val="32"/>
        </w:rPr>
      </w:pPr>
    </w:p>
    <w:p>
      <w:pPr>
        <w:pStyle w:val="3"/>
        <w:spacing w:before="0" w:after="0" w:line="580" w:lineRule="exact"/>
        <w:ind w:firstLine="640" w:firstLineChars="200"/>
        <w:rPr>
          <w:rFonts w:hint="eastAsia" w:ascii="仿宋" w:eastAsia="仿宋" w:cs="仿宋"/>
          <w:b w:val="0"/>
          <w:bCs w:val="0"/>
        </w:rPr>
      </w:pPr>
      <w:r>
        <w:rPr>
          <w:rFonts w:hint="eastAsia" w:ascii="仿宋" w:eastAsia="仿宋" w:cs="仿宋"/>
          <w:b w:val="0"/>
          <w:bCs w:val="0"/>
        </w:rPr>
        <w:t>二、收入决算情况说明</w:t>
      </w:r>
    </w:p>
    <w:p>
      <w:pPr>
        <w:adjustRightInd w:val="0"/>
        <w:snapToGrid w:val="0"/>
        <w:spacing w:after="0" w:line="580" w:lineRule="exact"/>
        <w:ind w:firstLine="640" w:firstLineChars="200"/>
        <w:rPr>
          <w:rFonts w:hint="eastAsia" w:ascii="仿宋" w:eastAsia="仿宋" w:cs="仿宋"/>
          <w:sz w:val="32"/>
          <w:szCs w:val="32"/>
        </w:rPr>
      </w:pPr>
      <w:r>
        <w:rPr>
          <w:rFonts w:hint="eastAsia" w:ascii="仿宋" w:eastAsia="仿宋" w:cs="仿宋"/>
          <w:sz w:val="32"/>
          <w:szCs w:val="32"/>
        </w:rPr>
        <w:t>本部门2019年度本年收入合计1896.26万元，其中：财政拨款收入1895.26万元，占99.95%；事业收入0万元，占0%；经营收入0万元，占0%；其他收入1万元，占0.05%。如表所示：</w:t>
      </w:r>
    </w:p>
    <w:tbl>
      <w:tblPr>
        <w:tblStyle w:val="13"/>
        <w:tblW w:w="887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2267"/>
        <w:gridCol w:w="1731"/>
        <w:gridCol w:w="1560"/>
        <w:gridCol w:w="1560"/>
        <w:gridCol w:w="17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8874" w:type="dxa"/>
            <w:gridSpan w:val="5"/>
            <w:shd w:val="clear" w:color="auto" w:fill="auto"/>
            <w:vAlign w:val="center"/>
          </w:tcPr>
          <w:p>
            <w:pPr>
              <w:widowControl/>
              <w:jc w:val="center"/>
              <w:textAlignment w:val="center"/>
              <w:rPr>
                <w:rFonts w:hint="eastAsia" w:ascii="仿宋" w:eastAsia="仿宋" w:cs="仿宋"/>
                <w:color w:val="000000"/>
                <w:sz w:val="24"/>
              </w:rPr>
            </w:pPr>
            <w:r>
              <w:rPr>
                <w:rFonts w:hint="eastAsia" w:ascii="仿宋" w:eastAsia="仿宋" w:cs="仿宋"/>
                <w:color w:val="000000"/>
                <w:kern w:val="0"/>
                <w:sz w:val="24"/>
              </w:rPr>
              <w:t>表1：收入决算结构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eastAsia="仿宋" w:cs="仿宋"/>
                <w:color w:val="000000"/>
                <w:sz w:val="20"/>
                <w:szCs w:val="20"/>
              </w:rPr>
            </w:pPr>
            <w:r>
              <w:rPr>
                <w:rFonts w:hint="eastAsia" w:ascii="仿宋" w:eastAsia="仿宋" w:cs="仿宋"/>
                <w:color w:val="000000"/>
                <w:kern w:val="0"/>
                <w:sz w:val="20"/>
                <w:szCs w:val="20"/>
              </w:rPr>
              <w:t>项目</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eastAsia="仿宋" w:cs="仿宋"/>
                <w:color w:val="000000"/>
                <w:sz w:val="20"/>
                <w:szCs w:val="20"/>
              </w:rPr>
            </w:pPr>
            <w:r>
              <w:rPr>
                <w:rFonts w:hint="eastAsia" w:ascii="仿宋" w:eastAsia="仿宋" w:cs="仿宋"/>
                <w:color w:val="000000"/>
                <w:kern w:val="0"/>
                <w:sz w:val="20"/>
                <w:szCs w:val="20"/>
              </w:rPr>
              <w:t>财政拨款收入</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eastAsia="仿宋" w:cs="仿宋"/>
                <w:color w:val="000000"/>
                <w:sz w:val="20"/>
                <w:szCs w:val="20"/>
              </w:rPr>
            </w:pPr>
            <w:r>
              <w:rPr>
                <w:rFonts w:hint="eastAsia" w:ascii="仿宋" w:eastAsia="仿宋" w:cs="仿宋"/>
                <w:color w:val="000000"/>
                <w:kern w:val="0"/>
                <w:sz w:val="20"/>
                <w:szCs w:val="20"/>
              </w:rPr>
              <w:t>事业收入</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eastAsia="仿宋" w:cs="仿宋"/>
                <w:color w:val="000000"/>
                <w:sz w:val="20"/>
                <w:szCs w:val="20"/>
              </w:rPr>
            </w:pPr>
            <w:r>
              <w:rPr>
                <w:rFonts w:hint="eastAsia" w:ascii="仿宋" w:eastAsia="仿宋" w:cs="仿宋"/>
                <w:color w:val="000000"/>
                <w:kern w:val="0"/>
                <w:sz w:val="20"/>
                <w:szCs w:val="20"/>
              </w:rPr>
              <w:t>经营收入</w:t>
            </w: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eastAsia="仿宋" w:cs="仿宋"/>
                <w:color w:val="000000"/>
                <w:sz w:val="20"/>
                <w:szCs w:val="20"/>
              </w:rPr>
            </w:pPr>
            <w:r>
              <w:rPr>
                <w:rFonts w:hint="eastAsia" w:ascii="仿宋" w:eastAsia="仿宋" w:cs="仿宋"/>
                <w:color w:val="000000"/>
                <w:kern w:val="0"/>
                <w:sz w:val="20"/>
                <w:szCs w:val="20"/>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eastAsia="仿宋" w:cs="仿宋"/>
                <w:color w:val="000000"/>
                <w:sz w:val="20"/>
                <w:szCs w:val="20"/>
              </w:rPr>
            </w:pPr>
            <w:r>
              <w:rPr>
                <w:rFonts w:hint="eastAsia" w:ascii="仿宋" w:eastAsia="仿宋" w:cs="仿宋"/>
                <w:color w:val="000000"/>
                <w:kern w:val="0"/>
                <w:sz w:val="20"/>
                <w:szCs w:val="20"/>
              </w:rPr>
              <w:t>金额（万元）</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eastAsia="仿宋" w:cs="仿宋"/>
                <w:color w:val="000000"/>
                <w:sz w:val="24"/>
              </w:rPr>
            </w:pPr>
            <w:r>
              <w:rPr>
                <w:rFonts w:hint="eastAsia" w:ascii="仿宋" w:eastAsia="仿宋" w:cs="仿宋"/>
                <w:color w:val="000000"/>
                <w:sz w:val="24"/>
              </w:rPr>
              <w:t>1896.26</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eastAsia="仿宋" w:cs="仿宋"/>
                <w:color w:val="000000"/>
                <w:sz w:val="24"/>
                <w:lang w:val="en-US" w:eastAsia="zh-CN"/>
              </w:rPr>
            </w:pPr>
            <w:r>
              <w:rPr>
                <w:rFonts w:hint="eastAsia" w:ascii="仿宋" w:eastAsia="仿宋" w:cs="仿宋"/>
                <w:color w:val="000000"/>
                <w:sz w:val="24"/>
              </w:rPr>
              <w:t>0</w:t>
            </w:r>
            <w:r>
              <w:rPr>
                <w:rFonts w:hint="eastAsia" w:ascii="仿宋" w:eastAsia="仿宋" w:cs="仿宋"/>
                <w:color w:val="000000"/>
                <w:sz w:val="24"/>
                <w:lang w:val="en-US" w:eastAsia="zh-CN"/>
              </w:rPr>
              <w:t>.00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eastAsia="仿宋" w:cs="仿宋"/>
                <w:color w:val="000000"/>
                <w:sz w:val="24"/>
              </w:rPr>
            </w:pPr>
            <w:r>
              <w:rPr>
                <w:rFonts w:hint="eastAsia" w:ascii="仿宋" w:eastAsia="仿宋" w:cs="仿宋"/>
                <w:color w:val="000000"/>
                <w:sz w:val="24"/>
              </w:rPr>
              <w:t>0</w:t>
            </w:r>
            <w:r>
              <w:rPr>
                <w:rFonts w:hint="eastAsia" w:ascii="仿宋" w:eastAsia="仿宋" w:cs="仿宋"/>
                <w:color w:val="000000"/>
                <w:sz w:val="24"/>
                <w:lang w:val="en-US" w:eastAsia="zh-CN"/>
              </w:rPr>
              <w:t>.00</w:t>
            </w: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eastAsia="仿宋" w:cs="仿宋"/>
                <w:color w:val="000000"/>
                <w:sz w:val="24"/>
                <w:lang w:val="en-US" w:eastAsia="zh-CN"/>
              </w:rPr>
            </w:pPr>
            <w:r>
              <w:rPr>
                <w:rFonts w:hint="eastAsia" w:ascii="仿宋" w:eastAsia="仿宋" w:cs="仿宋"/>
                <w:color w:val="000000"/>
                <w:sz w:val="24"/>
              </w:rPr>
              <w:t>1</w:t>
            </w:r>
            <w:r>
              <w:rPr>
                <w:rFonts w:hint="eastAsia" w:ascii="仿宋" w:eastAsia="仿宋" w:cs="仿宋"/>
                <w:color w:val="000000"/>
                <w:sz w:val="24"/>
                <w:lang w:val="en-US" w:eastAsia="zh-CN"/>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eastAsia="仿宋" w:cs="仿宋"/>
                <w:color w:val="000000"/>
                <w:sz w:val="20"/>
                <w:szCs w:val="20"/>
              </w:rPr>
            </w:pPr>
            <w:r>
              <w:rPr>
                <w:rFonts w:hint="eastAsia" w:ascii="仿宋" w:eastAsia="仿宋" w:cs="仿宋"/>
                <w:color w:val="000000"/>
                <w:kern w:val="0"/>
                <w:sz w:val="20"/>
                <w:szCs w:val="20"/>
              </w:rPr>
              <w:t>占比（%）</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eastAsia="仿宋" w:cs="仿宋"/>
                <w:color w:val="000000"/>
                <w:sz w:val="24"/>
                <w:lang w:val="en-US" w:eastAsia="zh-CN"/>
              </w:rPr>
            </w:pPr>
            <w:r>
              <w:rPr>
                <w:rFonts w:hint="eastAsia" w:ascii="仿宋" w:eastAsia="仿宋" w:cs="仿宋"/>
                <w:color w:val="000000"/>
                <w:sz w:val="24"/>
              </w:rPr>
              <w:t>99.5</w:t>
            </w:r>
            <w:r>
              <w:rPr>
                <w:rFonts w:hint="eastAsia" w:ascii="仿宋" w:eastAsia="仿宋" w:cs="仿宋"/>
                <w:color w:val="000000"/>
                <w:sz w:val="24"/>
                <w:lang w:val="en-US" w:eastAsia="zh-CN"/>
              </w:rPr>
              <w:t>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eastAsia="仿宋" w:cs="仿宋"/>
                <w:color w:val="000000"/>
                <w:sz w:val="24"/>
              </w:rPr>
            </w:pPr>
            <w:r>
              <w:rPr>
                <w:rFonts w:hint="eastAsia" w:ascii="仿宋" w:eastAsia="仿宋" w:cs="仿宋"/>
                <w:color w:val="000000"/>
                <w:sz w:val="24"/>
              </w:rPr>
              <w:t>0</w:t>
            </w:r>
            <w:r>
              <w:rPr>
                <w:rFonts w:hint="eastAsia" w:ascii="仿宋" w:eastAsia="仿宋" w:cs="仿宋"/>
                <w:color w:val="000000"/>
                <w:sz w:val="24"/>
                <w:lang w:val="en-US" w:eastAsia="zh-CN"/>
              </w:rPr>
              <w:t>.00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eastAsia="仿宋" w:cs="仿宋"/>
                <w:color w:val="000000"/>
                <w:sz w:val="24"/>
              </w:rPr>
            </w:pPr>
            <w:r>
              <w:rPr>
                <w:rFonts w:hint="eastAsia" w:ascii="仿宋" w:eastAsia="仿宋" w:cs="仿宋"/>
                <w:color w:val="000000"/>
                <w:sz w:val="24"/>
              </w:rPr>
              <w:t>0</w:t>
            </w:r>
            <w:r>
              <w:rPr>
                <w:rFonts w:hint="eastAsia" w:ascii="仿宋" w:eastAsia="仿宋" w:cs="仿宋"/>
                <w:color w:val="000000"/>
                <w:sz w:val="24"/>
                <w:lang w:val="en-US" w:eastAsia="zh-CN"/>
              </w:rPr>
              <w:t>.00</w:t>
            </w: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eastAsia="仿宋" w:cs="仿宋"/>
                <w:color w:val="000000"/>
                <w:sz w:val="24"/>
              </w:rPr>
            </w:pPr>
            <w:r>
              <w:rPr>
                <w:rFonts w:hint="eastAsia" w:ascii="仿宋" w:eastAsia="仿宋" w:cs="仿宋"/>
                <w:color w:val="000000"/>
                <w:sz w:val="24"/>
              </w:rPr>
              <w:t>0.05</w:t>
            </w:r>
          </w:p>
        </w:tc>
      </w:tr>
    </w:tbl>
    <w:p>
      <w:pPr>
        <w:rPr>
          <w:rFonts w:hint="eastAsia" w:ascii="仿宋" w:eastAsia="仿宋" w:cs="仿宋"/>
        </w:rPr>
      </w:pPr>
    </w:p>
    <w:p>
      <w:pPr>
        <w:pStyle w:val="3"/>
        <w:spacing w:before="0" w:after="0" w:line="580" w:lineRule="exact"/>
        <w:ind w:firstLine="640" w:firstLineChars="200"/>
        <w:rPr>
          <w:rFonts w:hint="eastAsia" w:ascii="仿宋" w:eastAsia="仿宋" w:cs="仿宋"/>
          <w:b w:val="0"/>
          <w:bCs w:val="0"/>
        </w:rPr>
      </w:pPr>
      <w:r>
        <w:rPr>
          <w:rFonts w:hint="eastAsia" w:ascii="仿宋" w:eastAsia="仿宋" w:cs="仿宋"/>
          <w:b w:val="0"/>
          <w:bCs w:val="0"/>
        </w:rPr>
        <w:t>三、支出决算情况说明</w:t>
      </w:r>
    </w:p>
    <w:p>
      <w:pPr>
        <w:adjustRightInd w:val="0"/>
        <w:snapToGrid w:val="0"/>
        <w:spacing w:after="0" w:line="580" w:lineRule="exact"/>
        <w:ind w:firstLine="640" w:firstLineChars="200"/>
        <w:rPr>
          <w:rFonts w:hint="eastAsia" w:ascii="仿宋" w:eastAsia="仿宋" w:cs="仿宋"/>
          <w:sz w:val="32"/>
          <w:szCs w:val="32"/>
        </w:rPr>
      </w:pPr>
      <w:r>
        <w:rPr>
          <w:rFonts w:hint="eastAsia" w:ascii="仿宋" w:eastAsia="仿宋" w:cs="仿宋"/>
          <w:sz w:val="32"/>
          <w:szCs w:val="32"/>
        </w:rPr>
        <w:t>本部门2019年度本年支出合计1900.33万元，其中：基本支出644.5万元，占33.92%；项目支出1255.83万元，占66.08%；经营支出0万元，占0%。如表所示：</w:t>
      </w:r>
    </w:p>
    <w:p>
      <w:pPr>
        <w:adjustRightInd w:val="0"/>
        <w:snapToGrid w:val="0"/>
        <w:spacing w:after="0" w:line="580" w:lineRule="exact"/>
        <w:ind w:firstLine="640" w:firstLineChars="200"/>
        <w:rPr>
          <w:rFonts w:ascii="仿宋_GB2312" w:eastAsia="仿宋_GB2312" w:cs="DengXian-Regular"/>
          <w:sz w:val="32"/>
          <w:szCs w:val="32"/>
        </w:rPr>
      </w:pPr>
    </w:p>
    <w:tbl>
      <w:tblPr>
        <w:tblStyle w:val="13"/>
        <w:tblW w:w="887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2493"/>
        <w:gridCol w:w="2300"/>
        <w:gridCol w:w="2070"/>
        <w:gridCol w:w="20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8874" w:type="dxa"/>
            <w:gridSpan w:val="4"/>
            <w:shd w:val="clear" w:color="auto" w:fill="auto"/>
            <w:vAlign w:val="center"/>
          </w:tcPr>
          <w:p>
            <w:pPr>
              <w:widowControl/>
              <w:jc w:val="center"/>
              <w:textAlignment w:val="center"/>
              <w:rPr>
                <w:rFonts w:hint="eastAsia" w:ascii="仿宋" w:eastAsia="仿宋" w:cs="仿宋"/>
                <w:color w:val="000000"/>
                <w:sz w:val="24"/>
              </w:rPr>
            </w:pPr>
            <w:r>
              <w:rPr>
                <w:rFonts w:hint="eastAsia" w:ascii="仿宋" w:eastAsia="仿宋" w:cs="仿宋"/>
                <w:color w:val="000000"/>
                <w:kern w:val="0"/>
                <w:sz w:val="24"/>
              </w:rPr>
              <w:t>表2：支出决算结构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4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eastAsia="仿宋" w:cs="仿宋"/>
                <w:color w:val="000000"/>
                <w:sz w:val="20"/>
                <w:szCs w:val="20"/>
              </w:rPr>
            </w:pPr>
            <w:r>
              <w:rPr>
                <w:rFonts w:hint="eastAsia" w:ascii="仿宋" w:eastAsia="仿宋" w:cs="仿宋"/>
                <w:color w:val="000000"/>
                <w:kern w:val="0"/>
                <w:sz w:val="20"/>
                <w:szCs w:val="20"/>
              </w:rPr>
              <w:t>项目</w:t>
            </w:r>
          </w:p>
        </w:tc>
        <w:tc>
          <w:tcPr>
            <w:tcW w:w="2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eastAsia="仿宋" w:cs="仿宋"/>
                <w:color w:val="000000"/>
                <w:sz w:val="20"/>
                <w:szCs w:val="20"/>
              </w:rPr>
            </w:pPr>
            <w:r>
              <w:rPr>
                <w:rFonts w:hint="eastAsia" w:ascii="仿宋" w:eastAsia="仿宋" w:cs="仿宋"/>
                <w:color w:val="000000"/>
                <w:kern w:val="0"/>
                <w:sz w:val="20"/>
                <w:szCs w:val="20"/>
              </w:rPr>
              <w:t>基本支出</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eastAsia="仿宋" w:cs="仿宋"/>
                <w:color w:val="000000"/>
                <w:sz w:val="20"/>
                <w:szCs w:val="20"/>
              </w:rPr>
            </w:pPr>
            <w:r>
              <w:rPr>
                <w:rFonts w:hint="eastAsia" w:ascii="仿宋" w:eastAsia="仿宋" w:cs="仿宋"/>
                <w:color w:val="000000"/>
                <w:kern w:val="0"/>
                <w:sz w:val="20"/>
                <w:szCs w:val="20"/>
              </w:rPr>
              <w:t>项目支出</w:t>
            </w:r>
          </w:p>
        </w:tc>
        <w:tc>
          <w:tcPr>
            <w:tcW w:w="2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eastAsia="仿宋" w:cs="仿宋"/>
                <w:color w:val="000000"/>
                <w:sz w:val="20"/>
                <w:szCs w:val="20"/>
              </w:rPr>
            </w:pPr>
            <w:r>
              <w:rPr>
                <w:rFonts w:hint="eastAsia" w:ascii="仿宋" w:eastAsia="仿宋" w:cs="仿宋"/>
                <w:color w:val="000000"/>
                <w:kern w:val="0"/>
                <w:sz w:val="20"/>
                <w:szCs w:val="20"/>
              </w:rPr>
              <w:t>经营支出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4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eastAsia="仿宋" w:cs="仿宋"/>
                <w:color w:val="000000"/>
                <w:sz w:val="20"/>
                <w:szCs w:val="20"/>
              </w:rPr>
            </w:pPr>
            <w:r>
              <w:rPr>
                <w:rFonts w:hint="eastAsia" w:ascii="仿宋" w:eastAsia="仿宋" w:cs="仿宋"/>
                <w:color w:val="000000"/>
                <w:kern w:val="0"/>
                <w:sz w:val="20"/>
                <w:szCs w:val="20"/>
              </w:rPr>
              <w:t>金额（万元）</w:t>
            </w:r>
          </w:p>
        </w:tc>
        <w:tc>
          <w:tcPr>
            <w:tcW w:w="23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eastAsia="仿宋" w:cs="仿宋"/>
                <w:color w:val="000000"/>
                <w:sz w:val="24"/>
                <w:lang w:val="en-US" w:eastAsia="zh-CN"/>
              </w:rPr>
            </w:pPr>
            <w:r>
              <w:rPr>
                <w:rFonts w:hint="eastAsia" w:ascii="仿宋" w:eastAsia="仿宋" w:cs="仿宋"/>
                <w:color w:val="000000"/>
                <w:sz w:val="24"/>
              </w:rPr>
              <w:t>644.5</w:t>
            </w:r>
            <w:r>
              <w:rPr>
                <w:rFonts w:hint="eastAsia" w:ascii="仿宋" w:eastAsia="仿宋" w:cs="仿宋"/>
                <w:color w:val="000000"/>
                <w:sz w:val="24"/>
                <w:lang w:val="en-US" w:eastAsia="zh-CN"/>
              </w:rPr>
              <w:t>0</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eastAsia="仿宋" w:cs="仿宋"/>
                <w:color w:val="000000"/>
                <w:sz w:val="24"/>
              </w:rPr>
            </w:pPr>
            <w:r>
              <w:rPr>
                <w:rFonts w:hint="eastAsia" w:ascii="仿宋" w:eastAsia="仿宋" w:cs="仿宋"/>
                <w:color w:val="000000"/>
                <w:sz w:val="24"/>
              </w:rPr>
              <w:t>1255.83</w:t>
            </w:r>
          </w:p>
        </w:tc>
        <w:tc>
          <w:tcPr>
            <w:tcW w:w="20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eastAsia="仿宋" w:cs="仿宋"/>
                <w:color w:val="000000"/>
                <w:sz w:val="24"/>
                <w:lang w:val="en-US" w:eastAsia="zh-CN"/>
              </w:rPr>
            </w:pPr>
            <w:r>
              <w:rPr>
                <w:rFonts w:hint="eastAsia" w:ascii="仿宋" w:eastAsia="仿宋" w:cs="仿宋"/>
                <w:color w:val="000000"/>
                <w:sz w:val="24"/>
              </w:rPr>
              <w:t>0</w:t>
            </w:r>
            <w:r>
              <w:rPr>
                <w:rFonts w:hint="eastAsia" w:ascii="仿宋" w:eastAsia="仿宋" w:cs="仿宋"/>
                <w:color w:val="000000"/>
                <w:sz w:val="24"/>
                <w:lang w:val="en-US" w:eastAsia="zh-CN"/>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4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eastAsia="仿宋" w:cs="仿宋"/>
                <w:color w:val="000000"/>
                <w:sz w:val="20"/>
                <w:szCs w:val="20"/>
              </w:rPr>
            </w:pPr>
            <w:r>
              <w:rPr>
                <w:rFonts w:hint="eastAsia" w:ascii="仿宋" w:eastAsia="仿宋" w:cs="仿宋"/>
                <w:color w:val="000000"/>
                <w:kern w:val="0"/>
                <w:sz w:val="20"/>
                <w:szCs w:val="20"/>
              </w:rPr>
              <w:t>占比（%）</w:t>
            </w:r>
          </w:p>
        </w:tc>
        <w:tc>
          <w:tcPr>
            <w:tcW w:w="23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eastAsia="仿宋" w:cs="仿宋"/>
                <w:color w:val="000000"/>
                <w:sz w:val="24"/>
              </w:rPr>
            </w:pPr>
            <w:r>
              <w:rPr>
                <w:rFonts w:hint="eastAsia" w:ascii="仿宋" w:eastAsia="仿宋" w:cs="仿宋"/>
                <w:color w:val="000000"/>
                <w:sz w:val="24"/>
              </w:rPr>
              <w:t>33.92</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eastAsia="仿宋" w:cs="仿宋"/>
                <w:color w:val="000000"/>
                <w:sz w:val="24"/>
              </w:rPr>
            </w:pPr>
            <w:r>
              <w:rPr>
                <w:rFonts w:hint="eastAsia" w:ascii="仿宋" w:eastAsia="仿宋" w:cs="仿宋"/>
                <w:color w:val="000000"/>
                <w:sz w:val="24"/>
              </w:rPr>
              <w:t>66.08</w:t>
            </w:r>
          </w:p>
        </w:tc>
        <w:tc>
          <w:tcPr>
            <w:tcW w:w="20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eastAsia="仿宋" w:cs="仿宋"/>
                <w:color w:val="000000"/>
                <w:sz w:val="24"/>
                <w:lang w:val="en-US" w:eastAsia="zh-CN"/>
              </w:rPr>
            </w:pPr>
            <w:r>
              <w:rPr>
                <w:rFonts w:hint="eastAsia" w:ascii="仿宋" w:eastAsia="仿宋" w:cs="仿宋"/>
                <w:color w:val="000000"/>
                <w:sz w:val="24"/>
              </w:rPr>
              <w:t>0</w:t>
            </w:r>
            <w:r>
              <w:rPr>
                <w:rFonts w:hint="eastAsia" w:ascii="仿宋" w:eastAsia="仿宋" w:cs="仿宋"/>
                <w:color w:val="000000"/>
                <w:sz w:val="24"/>
                <w:lang w:val="en-US" w:eastAsia="zh-CN"/>
              </w:rPr>
              <w:t>.00</w:t>
            </w:r>
          </w:p>
        </w:tc>
      </w:tr>
    </w:tbl>
    <w:p>
      <w:pPr>
        <w:adjustRightInd w:val="0"/>
        <w:snapToGrid w:val="0"/>
        <w:spacing w:after="0" w:line="580" w:lineRule="exact"/>
        <w:ind w:firstLine="640" w:firstLineChars="200"/>
        <w:rPr>
          <w:rFonts w:ascii="仿宋_GB2312" w:eastAsia="仿宋_GB2312" w:cs="DengXian-Regular"/>
          <w:sz w:val="32"/>
          <w:szCs w:val="32"/>
        </w:rPr>
      </w:pPr>
    </w:p>
    <w:p>
      <w:pPr>
        <w:pStyle w:val="3"/>
        <w:spacing w:before="0" w:after="0" w:line="580" w:lineRule="exact"/>
        <w:ind w:firstLine="640" w:firstLineChars="200"/>
        <w:rPr>
          <w:rFonts w:hint="eastAsia" w:ascii="仿宋" w:eastAsia="仿宋" w:cs="仿宋"/>
          <w:b w:val="0"/>
          <w:bCs w:val="0"/>
        </w:rPr>
      </w:pPr>
      <w:r>
        <w:rPr>
          <w:rFonts w:hint="eastAsia" w:ascii="仿宋" w:eastAsia="仿宋" w:cs="仿宋"/>
          <w:b w:val="0"/>
          <w:bCs w:val="0"/>
        </w:rPr>
        <w:t>四、</w:t>
      </w:r>
      <w:r>
        <w:rPr>
          <w:rFonts w:hint="eastAsia" w:ascii="仿宋" w:eastAsia="仿宋" w:cs="仿宋"/>
          <w:b w:val="0"/>
          <w:bCs w:val="0"/>
          <w:kern w:val="0"/>
        </w:rPr>
        <w:t>财政</w:t>
      </w:r>
      <w:r>
        <w:rPr>
          <w:rFonts w:hint="eastAsia" w:ascii="仿宋" w:eastAsia="仿宋" w:cs="仿宋"/>
          <w:b w:val="0"/>
          <w:bCs w:val="0"/>
        </w:rPr>
        <w:t>拨款收入支出决算总体情况说明</w:t>
      </w:r>
    </w:p>
    <w:p>
      <w:pPr>
        <w:spacing w:after="0" w:line="580" w:lineRule="exact"/>
        <w:ind w:firstLine="643" w:firstLineChars="200"/>
        <w:rPr>
          <w:rFonts w:hint="eastAsia" w:ascii="仿宋" w:eastAsia="仿宋" w:cs="仿宋"/>
          <w:b/>
          <w:bCs/>
          <w:sz w:val="32"/>
          <w:szCs w:val="32"/>
        </w:rPr>
      </w:pPr>
      <w:r>
        <w:rPr>
          <w:rFonts w:hint="eastAsia" w:ascii="仿宋" w:eastAsia="仿宋" w:cs="仿宋"/>
          <w:b/>
          <w:bCs/>
          <w:sz w:val="32"/>
          <w:szCs w:val="32"/>
        </w:rPr>
        <w:t>（一）财政拨款收支与2018年度决算对比情况</w:t>
      </w:r>
    </w:p>
    <w:p>
      <w:pPr>
        <w:adjustRightInd w:val="0"/>
        <w:snapToGrid w:val="0"/>
        <w:spacing w:after="0" w:line="580" w:lineRule="exact"/>
        <w:ind w:firstLine="640" w:firstLineChars="200"/>
        <w:rPr>
          <w:rFonts w:hint="eastAsia" w:ascii="仿宋" w:eastAsia="仿宋" w:cs="仿宋"/>
          <w:sz w:val="32"/>
          <w:szCs w:val="32"/>
          <w:highlight w:val="none"/>
        </w:rPr>
      </w:pPr>
      <w:r>
        <w:rPr>
          <w:rFonts w:hint="eastAsia" w:ascii="仿宋" w:eastAsia="仿宋" w:cs="仿宋"/>
          <w:sz w:val="32"/>
          <w:szCs w:val="32"/>
        </w:rPr>
        <w:t>本部门2019年度财政拨款本年收入1895.26万元,比2018年度增加597.30万元，增长46.02%，主</w:t>
      </w:r>
      <w:r>
        <w:rPr>
          <w:rFonts w:hint="eastAsia" w:ascii="仿宋" w:eastAsia="仿宋" w:cs="仿宋"/>
          <w:sz w:val="32"/>
          <w:szCs w:val="32"/>
          <w:highlight w:val="none"/>
        </w:rPr>
        <w:t>要是主要是2019年度创城经费和霸州市融媒体中心建设项目收入增加；本年支出1899.33万元，增加598.27万元，增长45.98%，主要是2019年度创城经费和霸州市融媒体中心建设项目支出增加。具体情况如下：</w:t>
      </w:r>
    </w:p>
    <w:p>
      <w:pPr>
        <w:adjustRightInd w:val="0"/>
        <w:snapToGrid w:val="0"/>
        <w:spacing w:after="0" w:line="580" w:lineRule="exact"/>
        <w:ind w:firstLine="640" w:firstLineChars="200"/>
        <w:rPr>
          <w:rFonts w:hint="eastAsia" w:ascii="仿宋" w:eastAsia="仿宋" w:cs="仿宋"/>
          <w:sz w:val="32"/>
          <w:szCs w:val="32"/>
          <w:highlight w:val="none"/>
        </w:rPr>
      </w:pPr>
      <w:r>
        <w:rPr>
          <w:rFonts w:hint="eastAsia" w:ascii="仿宋" w:eastAsia="仿宋" w:cs="仿宋"/>
          <w:sz w:val="32"/>
          <w:szCs w:val="32"/>
          <w:highlight w:val="none"/>
        </w:rPr>
        <w:t>1.一般公共预算财政拨款本年收入1862.26万元，比上年增加590.30万元,增长46.41%；主要是2019年度创城经费和霸州市融媒体中心建设项目收入增加；本年支出1866.33万元，比上年增加591.27万元，增长46.37%，主要是2019年度创城经费和霸州市融媒体中心建设项目支出增加。</w:t>
      </w:r>
    </w:p>
    <w:p>
      <w:pPr>
        <w:adjustRightInd w:val="0"/>
        <w:snapToGrid w:val="0"/>
        <w:spacing w:after="0" w:line="580" w:lineRule="exact"/>
        <w:ind w:firstLine="640" w:firstLineChars="200"/>
        <w:rPr>
          <w:rFonts w:hint="eastAsia" w:ascii="仿宋" w:eastAsia="仿宋" w:cs="仿宋"/>
          <w:sz w:val="32"/>
          <w:szCs w:val="32"/>
        </w:rPr>
      </w:pPr>
      <w:r>
        <w:rPr>
          <w:rFonts w:hint="eastAsia" w:ascii="仿宋" w:eastAsia="仿宋" w:cs="仿宋"/>
          <w:sz w:val="32"/>
          <w:szCs w:val="32"/>
        </w:rPr>
        <w:t>2.政府性基金预算财政拨款本年收入33万元，比上年增加7万元，增长26.92%，主要是2019年度国家电影事业发展专项资金的收入；本年支出33万元，比上年增加7万元，增长26.92%，主要是2019年度国家电影事业发展专项资金安排的支出。</w:t>
      </w:r>
    </w:p>
    <w:p>
      <w:pPr>
        <w:adjustRightInd w:val="0"/>
        <w:snapToGrid w:val="0"/>
        <w:spacing w:after="0" w:line="580" w:lineRule="exact"/>
        <w:ind w:firstLine="640" w:firstLineChars="200"/>
        <w:rPr>
          <w:rFonts w:hint="eastAsia" w:ascii="仿宋" w:eastAsia="仿宋" w:cs="仿宋"/>
          <w:sz w:val="32"/>
          <w:szCs w:val="32"/>
        </w:rPr>
      </w:pPr>
    </w:p>
    <w:tbl>
      <w:tblPr>
        <w:tblStyle w:val="13"/>
        <w:tblW w:w="887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860"/>
        <w:gridCol w:w="1037"/>
        <w:gridCol w:w="1038"/>
        <w:gridCol w:w="1039"/>
        <w:gridCol w:w="1038"/>
        <w:gridCol w:w="1039"/>
        <w:gridCol w:w="18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75" w:hRule="atLeast"/>
        </w:trPr>
        <w:tc>
          <w:tcPr>
            <w:tcW w:w="8874" w:type="dxa"/>
            <w:gridSpan w:val="7"/>
            <w:shd w:val="clear" w:color="auto" w:fill="auto"/>
            <w:vAlign w:val="center"/>
          </w:tcPr>
          <w:p>
            <w:pPr>
              <w:widowControl/>
              <w:jc w:val="center"/>
              <w:textAlignment w:val="center"/>
              <w:rPr>
                <w:rFonts w:hint="eastAsia" w:ascii="仿宋" w:eastAsia="仿宋" w:cs="仿宋"/>
                <w:color w:val="000000"/>
                <w:sz w:val="28"/>
                <w:szCs w:val="28"/>
              </w:rPr>
            </w:pPr>
            <w:r>
              <w:rPr>
                <w:rFonts w:hint="eastAsia" w:ascii="仿宋" w:eastAsia="仿宋" w:cs="仿宋"/>
                <w:color w:val="000000"/>
                <w:kern w:val="0"/>
                <w:sz w:val="28"/>
                <w:szCs w:val="28"/>
              </w:rPr>
              <w:t>表3：2018-2019年财政拨款收支情况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4" w:hRule="atLeast"/>
        </w:trPr>
        <w:tc>
          <w:tcPr>
            <w:tcW w:w="18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eastAsia="仿宋" w:cs="仿宋"/>
                <w:color w:val="000000"/>
                <w:sz w:val="20"/>
                <w:szCs w:val="20"/>
              </w:rPr>
            </w:pPr>
            <w:r>
              <w:rPr>
                <w:rFonts w:hint="eastAsia" w:ascii="仿宋" w:eastAsia="仿宋" w:cs="仿宋"/>
                <w:color w:val="000000"/>
                <w:kern w:val="0"/>
                <w:sz w:val="20"/>
                <w:szCs w:val="20"/>
              </w:rPr>
              <w:t>项目</w:t>
            </w:r>
          </w:p>
        </w:tc>
        <w:tc>
          <w:tcPr>
            <w:tcW w:w="311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eastAsia="仿宋" w:cs="仿宋"/>
                <w:color w:val="000000"/>
                <w:sz w:val="20"/>
                <w:szCs w:val="20"/>
              </w:rPr>
            </w:pPr>
            <w:r>
              <w:rPr>
                <w:rFonts w:hint="eastAsia" w:ascii="仿宋" w:eastAsia="仿宋" w:cs="仿宋"/>
                <w:color w:val="000000"/>
                <w:kern w:val="0"/>
                <w:sz w:val="20"/>
                <w:szCs w:val="20"/>
              </w:rPr>
              <w:t>财政拨款收入</w:t>
            </w:r>
          </w:p>
        </w:tc>
        <w:tc>
          <w:tcPr>
            <w:tcW w:w="39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eastAsia="仿宋" w:cs="仿宋"/>
                <w:color w:val="000000"/>
                <w:sz w:val="20"/>
                <w:szCs w:val="20"/>
              </w:rPr>
            </w:pPr>
            <w:r>
              <w:rPr>
                <w:rFonts w:hint="eastAsia" w:ascii="仿宋" w:eastAsia="仿宋" w:cs="仿宋"/>
                <w:color w:val="000000"/>
                <w:kern w:val="0"/>
                <w:sz w:val="20"/>
                <w:szCs w:val="20"/>
              </w:rPr>
              <w:t>财政拨款支出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92" w:hRule="atLeast"/>
        </w:trPr>
        <w:tc>
          <w:tcPr>
            <w:tcW w:w="18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eastAsia="仿宋" w:cs="仿宋"/>
                <w:color w:val="000000"/>
                <w:sz w:val="20"/>
                <w:szCs w:val="20"/>
              </w:rPr>
            </w:pPr>
            <w:r>
              <w:rPr>
                <w:rFonts w:hint="eastAsia" w:ascii="仿宋" w:eastAsia="仿宋" w:cs="仿宋"/>
                <w:color w:val="000000"/>
                <w:kern w:val="0"/>
                <w:sz w:val="20"/>
                <w:szCs w:val="20"/>
              </w:rPr>
              <w:t>小计</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eastAsia="仿宋" w:cs="仿宋"/>
                <w:color w:val="000000"/>
                <w:sz w:val="20"/>
                <w:szCs w:val="20"/>
              </w:rPr>
            </w:pPr>
            <w:r>
              <w:rPr>
                <w:rFonts w:hint="eastAsia" w:ascii="仿宋" w:eastAsia="仿宋" w:cs="仿宋"/>
                <w:color w:val="000000"/>
                <w:kern w:val="0"/>
                <w:sz w:val="20"/>
                <w:szCs w:val="20"/>
              </w:rPr>
              <w:t>一般公共预算财政拨款收入</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eastAsia="仿宋" w:cs="仿宋"/>
                <w:color w:val="000000"/>
                <w:sz w:val="20"/>
                <w:szCs w:val="20"/>
              </w:rPr>
            </w:pPr>
            <w:r>
              <w:rPr>
                <w:rFonts w:hint="eastAsia" w:ascii="仿宋" w:eastAsia="仿宋" w:cs="仿宋"/>
                <w:color w:val="000000"/>
                <w:kern w:val="0"/>
                <w:sz w:val="20"/>
                <w:szCs w:val="20"/>
              </w:rPr>
              <w:t>政府性基金预算财政拨款收入</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eastAsia="仿宋" w:cs="仿宋"/>
                <w:color w:val="000000"/>
                <w:sz w:val="20"/>
                <w:szCs w:val="20"/>
              </w:rPr>
            </w:pPr>
            <w:r>
              <w:rPr>
                <w:rFonts w:hint="eastAsia" w:ascii="仿宋" w:eastAsia="仿宋" w:cs="仿宋"/>
                <w:color w:val="000000"/>
                <w:kern w:val="0"/>
                <w:sz w:val="20"/>
                <w:szCs w:val="20"/>
              </w:rPr>
              <w:t>小计</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eastAsia="仿宋" w:cs="仿宋"/>
                <w:color w:val="000000"/>
                <w:sz w:val="20"/>
                <w:szCs w:val="20"/>
              </w:rPr>
            </w:pPr>
            <w:r>
              <w:rPr>
                <w:rFonts w:hint="eastAsia" w:ascii="仿宋" w:eastAsia="仿宋" w:cs="仿宋"/>
                <w:color w:val="000000"/>
                <w:kern w:val="0"/>
                <w:sz w:val="20"/>
                <w:szCs w:val="20"/>
              </w:rPr>
              <w:t>一般公共预算财政拨款支出</w:t>
            </w:r>
          </w:p>
        </w:tc>
        <w:tc>
          <w:tcPr>
            <w:tcW w:w="18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eastAsia="仿宋" w:cs="仿宋"/>
                <w:color w:val="000000"/>
                <w:sz w:val="20"/>
                <w:szCs w:val="20"/>
              </w:rPr>
            </w:pPr>
            <w:r>
              <w:rPr>
                <w:rFonts w:hint="eastAsia" w:ascii="仿宋" w:eastAsia="仿宋" w:cs="仿宋"/>
                <w:color w:val="000000"/>
                <w:kern w:val="0"/>
                <w:sz w:val="20"/>
                <w:szCs w:val="20"/>
              </w:rPr>
              <w:t>政府性基金预算财政拨款支出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eastAsia="仿宋" w:cs="仿宋"/>
                <w:color w:val="000000"/>
                <w:sz w:val="20"/>
                <w:szCs w:val="20"/>
              </w:rPr>
            </w:pPr>
            <w:r>
              <w:rPr>
                <w:rFonts w:hint="eastAsia" w:ascii="仿宋" w:eastAsia="仿宋" w:cs="仿宋"/>
                <w:color w:val="000000"/>
                <w:kern w:val="0"/>
                <w:sz w:val="20"/>
                <w:szCs w:val="20"/>
              </w:rPr>
              <w:t>2018年（万元）</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eastAsia="仿宋" w:cs="仿宋"/>
                <w:color w:val="000000"/>
                <w:sz w:val="24"/>
              </w:rPr>
            </w:pPr>
            <w:r>
              <w:rPr>
                <w:rFonts w:hint="eastAsia" w:ascii="仿宋" w:eastAsia="仿宋" w:cs="仿宋"/>
                <w:color w:val="000000"/>
                <w:sz w:val="24"/>
              </w:rPr>
              <w:t>1297.96</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eastAsia="仿宋" w:cs="仿宋"/>
                <w:color w:val="000000"/>
                <w:sz w:val="24"/>
              </w:rPr>
            </w:pPr>
            <w:r>
              <w:rPr>
                <w:rFonts w:hint="eastAsia" w:ascii="仿宋" w:eastAsia="仿宋" w:cs="仿宋"/>
                <w:color w:val="000000"/>
                <w:sz w:val="24"/>
              </w:rPr>
              <w:t>1271.96</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eastAsia="仿宋" w:cs="仿宋"/>
                <w:color w:val="000000"/>
                <w:sz w:val="24"/>
                <w:lang w:val="en-US" w:eastAsia="zh-CN"/>
              </w:rPr>
            </w:pPr>
            <w:r>
              <w:rPr>
                <w:rFonts w:hint="eastAsia" w:ascii="仿宋" w:eastAsia="仿宋" w:cs="仿宋"/>
                <w:color w:val="000000"/>
                <w:sz w:val="24"/>
              </w:rPr>
              <w:t>26</w:t>
            </w:r>
            <w:r>
              <w:rPr>
                <w:rFonts w:hint="eastAsia" w:ascii="仿宋" w:eastAsia="仿宋" w:cs="仿宋"/>
                <w:color w:val="000000"/>
                <w:sz w:val="24"/>
                <w:lang w:val="en-US" w:eastAsia="zh-CN"/>
              </w:rPr>
              <w:t>.00</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eastAsia="仿宋" w:cs="仿宋"/>
                <w:color w:val="000000"/>
                <w:sz w:val="24"/>
              </w:rPr>
            </w:pPr>
            <w:r>
              <w:rPr>
                <w:rFonts w:hint="eastAsia" w:ascii="仿宋" w:eastAsia="仿宋" w:cs="仿宋"/>
                <w:color w:val="000000"/>
                <w:sz w:val="24"/>
              </w:rPr>
              <w:t>1301.06</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eastAsia="仿宋" w:cs="仿宋"/>
                <w:color w:val="000000"/>
                <w:sz w:val="24"/>
              </w:rPr>
            </w:pPr>
            <w:r>
              <w:rPr>
                <w:rFonts w:hint="eastAsia" w:ascii="仿宋" w:eastAsia="仿宋" w:cs="仿宋"/>
                <w:color w:val="000000"/>
                <w:sz w:val="24"/>
              </w:rPr>
              <w:t>1275.06</w:t>
            </w:r>
          </w:p>
        </w:tc>
        <w:tc>
          <w:tcPr>
            <w:tcW w:w="18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eastAsia="仿宋" w:cs="仿宋"/>
                <w:color w:val="000000"/>
                <w:sz w:val="24"/>
                <w:lang w:val="en-US" w:eastAsia="zh-CN"/>
              </w:rPr>
            </w:pPr>
            <w:r>
              <w:rPr>
                <w:rFonts w:hint="eastAsia" w:ascii="仿宋" w:eastAsia="仿宋" w:cs="仿宋"/>
                <w:color w:val="000000"/>
                <w:sz w:val="24"/>
              </w:rPr>
              <w:t>26</w:t>
            </w:r>
            <w:r>
              <w:rPr>
                <w:rFonts w:hint="eastAsia" w:ascii="仿宋" w:eastAsia="仿宋" w:cs="仿宋"/>
                <w:color w:val="000000"/>
                <w:sz w:val="24"/>
                <w:lang w:val="en-US" w:eastAsia="zh-CN"/>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eastAsia="仿宋" w:cs="仿宋"/>
                <w:color w:val="000000"/>
                <w:sz w:val="20"/>
                <w:szCs w:val="20"/>
              </w:rPr>
            </w:pPr>
            <w:r>
              <w:rPr>
                <w:rFonts w:hint="eastAsia" w:ascii="仿宋" w:eastAsia="仿宋" w:cs="仿宋"/>
                <w:color w:val="000000"/>
                <w:kern w:val="0"/>
                <w:sz w:val="20"/>
                <w:szCs w:val="20"/>
              </w:rPr>
              <w:t>2019年（万元）</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eastAsia="仿宋" w:cs="仿宋"/>
                <w:color w:val="000000"/>
                <w:sz w:val="24"/>
              </w:rPr>
            </w:pPr>
            <w:r>
              <w:rPr>
                <w:rFonts w:hint="eastAsia" w:ascii="仿宋" w:eastAsia="仿宋" w:cs="仿宋"/>
                <w:color w:val="000000"/>
                <w:sz w:val="24"/>
              </w:rPr>
              <w:t>1895.26</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eastAsia="仿宋" w:cs="仿宋"/>
                <w:color w:val="000000"/>
                <w:sz w:val="24"/>
              </w:rPr>
            </w:pPr>
            <w:r>
              <w:rPr>
                <w:rFonts w:hint="eastAsia" w:ascii="仿宋" w:eastAsia="仿宋" w:cs="仿宋"/>
                <w:color w:val="000000"/>
                <w:sz w:val="24"/>
              </w:rPr>
              <w:t>1862.26</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eastAsia="仿宋" w:cs="仿宋"/>
                <w:color w:val="000000"/>
                <w:sz w:val="24"/>
                <w:lang w:val="en-US" w:eastAsia="zh-CN"/>
              </w:rPr>
            </w:pPr>
            <w:r>
              <w:rPr>
                <w:rFonts w:hint="eastAsia" w:ascii="仿宋" w:eastAsia="仿宋" w:cs="仿宋"/>
                <w:color w:val="000000"/>
                <w:sz w:val="24"/>
              </w:rPr>
              <w:t>33</w:t>
            </w:r>
            <w:r>
              <w:rPr>
                <w:rFonts w:hint="eastAsia" w:ascii="仿宋" w:eastAsia="仿宋" w:cs="仿宋"/>
                <w:color w:val="000000"/>
                <w:sz w:val="24"/>
                <w:lang w:val="en-US" w:eastAsia="zh-CN"/>
              </w:rPr>
              <w:t>.00</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eastAsia="仿宋" w:cs="仿宋"/>
                <w:color w:val="000000"/>
                <w:sz w:val="24"/>
              </w:rPr>
            </w:pPr>
            <w:r>
              <w:rPr>
                <w:rFonts w:hint="eastAsia" w:ascii="仿宋" w:eastAsia="仿宋" w:cs="仿宋"/>
                <w:color w:val="000000"/>
                <w:sz w:val="24"/>
              </w:rPr>
              <w:t>1899.33</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eastAsia="仿宋" w:cs="仿宋"/>
                <w:color w:val="000000"/>
                <w:sz w:val="24"/>
              </w:rPr>
            </w:pPr>
            <w:r>
              <w:rPr>
                <w:rFonts w:hint="eastAsia" w:ascii="仿宋" w:eastAsia="仿宋" w:cs="仿宋"/>
                <w:color w:val="000000"/>
                <w:sz w:val="24"/>
              </w:rPr>
              <w:t>1866.33</w:t>
            </w:r>
          </w:p>
        </w:tc>
        <w:tc>
          <w:tcPr>
            <w:tcW w:w="18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eastAsia="仿宋" w:cs="仿宋"/>
                <w:color w:val="000000"/>
                <w:sz w:val="24"/>
                <w:lang w:val="en-US" w:eastAsia="zh-CN"/>
              </w:rPr>
            </w:pPr>
            <w:r>
              <w:rPr>
                <w:rFonts w:hint="eastAsia" w:ascii="仿宋" w:eastAsia="仿宋" w:cs="仿宋"/>
                <w:color w:val="000000"/>
                <w:sz w:val="24"/>
              </w:rPr>
              <w:t>33</w:t>
            </w:r>
            <w:r>
              <w:rPr>
                <w:rFonts w:hint="eastAsia" w:ascii="仿宋" w:eastAsia="仿宋" w:cs="仿宋"/>
                <w:color w:val="000000"/>
                <w:sz w:val="24"/>
                <w:lang w:val="en-US" w:eastAsia="zh-CN"/>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eastAsia="仿宋" w:cs="仿宋"/>
                <w:color w:val="000000"/>
                <w:sz w:val="20"/>
                <w:szCs w:val="20"/>
              </w:rPr>
            </w:pPr>
            <w:r>
              <w:rPr>
                <w:rFonts w:hint="eastAsia" w:ascii="仿宋" w:eastAsia="仿宋" w:cs="仿宋"/>
                <w:color w:val="000000"/>
                <w:kern w:val="0"/>
                <w:sz w:val="20"/>
                <w:szCs w:val="20"/>
              </w:rPr>
              <w:t>增长比率（%）</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eastAsia="仿宋" w:cs="仿宋"/>
                <w:color w:val="000000"/>
                <w:sz w:val="24"/>
              </w:rPr>
            </w:pPr>
            <w:r>
              <w:rPr>
                <w:rFonts w:hint="eastAsia" w:ascii="仿宋" w:eastAsia="仿宋" w:cs="仿宋"/>
                <w:color w:val="000000"/>
                <w:sz w:val="24"/>
              </w:rPr>
              <w:t>46.02</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eastAsia="仿宋" w:cs="仿宋"/>
                <w:color w:val="000000"/>
                <w:sz w:val="24"/>
              </w:rPr>
            </w:pPr>
            <w:r>
              <w:rPr>
                <w:rFonts w:hint="eastAsia" w:ascii="仿宋" w:eastAsia="仿宋" w:cs="仿宋"/>
                <w:color w:val="000000"/>
                <w:sz w:val="24"/>
              </w:rPr>
              <w:t>46.41</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eastAsia="仿宋" w:cs="仿宋"/>
                <w:color w:val="000000"/>
                <w:sz w:val="24"/>
              </w:rPr>
            </w:pPr>
            <w:r>
              <w:rPr>
                <w:rFonts w:hint="eastAsia" w:ascii="仿宋" w:eastAsia="仿宋" w:cs="仿宋"/>
                <w:color w:val="000000"/>
                <w:sz w:val="24"/>
              </w:rPr>
              <w:t>26.92</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eastAsia="仿宋" w:cs="仿宋"/>
                <w:color w:val="000000"/>
                <w:sz w:val="24"/>
              </w:rPr>
            </w:pPr>
            <w:r>
              <w:rPr>
                <w:rFonts w:hint="eastAsia" w:ascii="仿宋" w:eastAsia="仿宋" w:cs="仿宋"/>
                <w:color w:val="000000"/>
                <w:sz w:val="24"/>
              </w:rPr>
              <w:t>45.98</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eastAsia="仿宋" w:cs="仿宋"/>
                <w:color w:val="000000"/>
                <w:sz w:val="24"/>
              </w:rPr>
            </w:pPr>
            <w:r>
              <w:rPr>
                <w:rFonts w:hint="eastAsia" w:ascii="仿宋" w:eastAsia="仿宋" w:cs="仿宋"/>
                <w:color w:val="000000"/>
                <w:sz w:val="24"/>
              </w:rPr>
              <w:t>46.37</w:t>
            </w:r>
          </w:p>
        </w:tc>
        <w:tc>
          <w:tcPr>
            <w:tcW w:w="18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eastAsia="仿宋" w:cs="仿宋"/>
                <w:color w:val="000000"/>
                <w:sz w:val="24"/>
              </w:rPr>
            </w:pPr>
            <w:r>
              <w:rPr>
                <w:rFonts w:hint="eastAsia" w:ascii="仿宋" w:eastAsia="仿宋" w:cs="仿宋"/>
                <w:color w:val="000000"/>
                <w:sz w:val="24"/>
              </w:rPr>
              <w:t>26.92</w:t>
            </w:r>
          </w:p>
        </w:tc>
      </w:tr>
    </w:tbl>
    <w:p>
      <w:pPr>
        <w:spacing w:after="0" w:line="580" w:lineRule="exact"/>
        <w:ind w:firstLine="643" w:firstLineChars="200"/>
        <w:rPr>
          <w:rFonts w:ascii="楷体_GB2312" w:eastAsia="楷体_GB2312" w:cs="DengXian-Bold"/>
          <w:b/>
          <w:bCs/>
          <w:sz w:val="32"/>
          <w:szCs w:val="32"/>
        </w:rPr>
      </w:pPr>
    </w:p>
    <w:p>
      <w:pPr>
        <w:spacing w:after="0" w:line="580" w:lineRule="exact"/>
        <w:ind w:firstLine="643" w:firstLineChars="200"/>
        <w:rPr>
          <w:rFonts w:hint="eastAsia" w:ascii="仿宋" w:eastAsia="仿宋" w:cs="仿宋"/>
          <w:b/>
          <w:bCs/>
          <w:sz w:val="32"/>
          <w:szCs w:val="32"/>
        </w:rPr>
      </w:pPr>
      <w:r>
        <w:rPr>
          <w:rFonts w:hint="eastAsia" w:ascii="仿宋" w:eastAsia="仿宋" w:cs="仿宋"/>
          <w:b/>
          <w:bCs/>
          <w:sz w:val="32"/>
          <w:szCs w:val="32"/>
        </w:rPr>
        <w:t>（二）财政拨款收支与年初预算数对比情况</w:t>
      </w:r>
    </w:p>
    <w:p>
      <w:pPr>
        <w:adjustRightInd w:val="0"/>
        <w:snapToGrid w:val="0"/>
        <w:spacing w:after="0" w:line="580" w:lineRule="exact"/>
        <w:ind w:firstLine="640" w:firstLineChars="200"/>
        <w:rPr>
          <w:rFonts w:hint="eastAsia" w:ascii="仿宋" w:eastAsia="仿宋" w:cs="仿宋"/>
          <w:sz w:val="32"/>
          <w:szCs w:val="32"/>
          <w:highlight w:val="none"/>
        </w:rPr>
      </w:pPr>
      <w:r>
        <w:rPr>
          <w:rFonts w:hint="eastAsia" w:ascii="仿宋" w:eastAsia="仿宋" w:cs="仿宋"/>
          <w:sz w:val="32"/>
          <w:szCs w:val="32"/>
        </w:rPr>
        <w:t>本部门2019年度财政拨款本年收入1895.26万元，完成年初预算的120.2%,比年初预算增加318.08万元，决算数大于预算数主要原因是</w:t>
      </w:r>
      <w:r>
        <w:rPr>
          <w:rFonts w:hint="eastAsia" w:ascii="仿宋" w:eastAsia="仿宋" w:cs="仿宋"/>
          <w:sz w:val="32"/>
          <w:szCs w:val="32"/>
          <w:highlight w:val="none"/>
        </w:rPr>
        <w:t>霸州市融媒体中心建设项目和创城经费的增加；本年支出1899.33万元，完成年初预算的120.43%,比年初预算增加322.15万元，决算数大于预算数主要原因是霸州市融媒体中心建设项目和创城经费的增加。具体情况如下：</w:t>
      </w:r>
    </w:p>
    <w:p>
      <w:pPr>
        <w:adjustRightInd w:val="0"/>
        <w:snapToGrid w:val="0"/>
        <w:spacing w:after="0" w:line="580" w:lineRule="exact"/>
        <w:ind w:firstLine="640" w:firstLineChars="200"/>
        <w:rPr>
          <w:rFonts w:hint="eastAsia" w:ascii="仿宋" w:eastAsia="仿宋" w:cs="仿宋"/>
          <w:sz w:val="32"/>
          <w:szCs w:val="32"/>
          <w:highlight w:val="none"/>
        </w:rPr>
      </w:pPr>
      <w:r>
        <w:rPr>
          <w:rFonts w:hint="eastAsia" w:ascii="仿宋" w:eastAsia="仿宋" w:cs="仿宋"/>
          <w:sz w:val="32"/>
          <w:szCs w:val="32"/>
          <w:highlight w:val="none"/>
        </w:rPr>
        <w:t xml:space="preserve">1.一般公共预算财政拨款本年收入完成年初预算120.05%，比年初预算增加311.08万元，主要是霸州市融媒体中心建设项目和创城经费的增加；支出完成年初预算120.32%，比年初预算增加315.15万元，主要是霸州市融媒体中心建设项目和创城经费的增加。  </w:t>
      </w:r>
    </w:p>
    <w:p>
      <w:pPr>
        <w:adjustRightInd w:val="0"/>
        <w:snapToGrid w:val="0"/>
        <w:spacing w:after="0" w:line="580" w:lineRule="exact"/>
        <w:ind w:firstLine="640" w:firstLineChars="200"/>
        <w:rPr>
          <w:rFonts w:hint="eastAsia" w:ascii="仿宋" w:eastAsia="仿宋" w:cs="仿宋"/>
          <w:sz w:val="32"/>
          <w:szCs w:val="32"/>
        </w:rPr>
      </w:pPr>
      <w:r>
        <w:rPr>
          <w:rFonts w:hint="eastAsia" w:ascii="仿宋" w:eastAsia="仿宋" w:cs="仿宋"/>
          <w:sz w:val="32"/>
          <w:szCs w:val="32"/>
        </w:rPr>
        <w:t>2.政府性基金预算财政拨款本年收入完成年初预算126.92%，比年初预算增加7万元，主要是2019年度国家电影事业发展专项资金的收入；支出完成年初预算126.92%，比年初预算增加7万元，主要是2019年度国家电影事业发展专项资金安排的支出。</w:t>
      </w:r>
    </w:p>
    <w:tbl>
      <w:tblPr>
        <w:tblStyle w:val="13"/>
        <w:tblpPr w:leftFromText="180" w:rightFromText="180" w:vertAnchor="text" w:horzAnchor="page" w:tblpX="1451" w:tblpY="370"/>
        <w:tblOverlap w:val="never"/>
        <w:tblW w:w="904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855"/>
        <w:gridCol w:w="1523"/>
        <w:gridCol w:w="1003"/>
        <w:gridCol w:w="1522"/>
        <w:gridCol w:w="1003"/>
        <w:gridCol w:w="1003"/>
        <w:gridCol w:w="11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9045" w:type="dxa"/>
            <w:gridSpan w:val="7"/>
            <w:shd w:val="clear" w:color="auto" w:fill="auto"/>
            <w:vAlign w:val="center"/>
          </w:tcPr>
          <w:p>
            <w:pPr>
              <w:widowControl/>
              <w:jc w:val="center"/>
              <w:textAlignment w:val="center"/>
              <w:rPr>
                <w:rFonts w:hint="eastAsia" w:ascii="仿宋" w:eastAsia="仿宋" w:cs="仿宋"/>
                <w:color w:val="000000"/>
                <w:sz w:val="24"/>
              </w:rPr>
            </w:pPr>
            <w:r>
              <w:rPr>
                <w:rFonts w:hint="eastAsia" w:ascii="仿宋" w:eastAsia="仿宋" w:cs="仿宋"/>
                <w:color w:val="000000"/>
                <w:kern w:val="0"/>
                <w:sz w:val="24"/>
              </w:rPr>
              <w:t>表4：财政拨款收支预决算对比情况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8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eastAsia="仿宋" w:cs="仿宋"/>
                <w:color w:val="000000"/>
                <w:sz w:val="20"/>
                <w:szCs w:val="20"/>
              </w:rPr>
            </w:pPr>
            <w:r>
              <w:rPr>
                <w:rFonts w:hint="eastAsia" w:ascii="仿宋" w:eastAsia="仿宋" w:cs="仿宋"/>
                <w:color w:val="000000"/>
                <w:kern w:val="0"/>
                <w:sz w:val="20"/>
                <w:szCs w:val="20"/>
              </w:rPr>
              <w:t>项目</w:t>
            </w:r>
          </w:p>
        </w:tc>
        <w:tc>
          <w:tcPr>
            <w:tcW w:w="404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eastAsia="仿宋" w:cs="仿宋"/>
                <w:color w:val="000000"/>
                <w:sz w:val="20"/>
                <w:szCs w:val="20"/>
              </w:rPr>
            </w:pPr>
            <w:r>
              <w:rPr>
                <w:rFonts w:hint="eastAsia" w:ascii="仿宋" w:eastAsia="仿宋" w:cs="仿宋"/>
                <w:color w:val="000000"/>
                <w:kern w:val="0"/>
                <w:sz w:val="20"/>
                <w:szCs w:val="20"/>
              </w:rPr>
              <w:t>财政拨款收入</w:t>
            </w:r>
          </w:p>
        </w:tc>
        <w:tc>
          <w:tcPr>
            <w:tcW w:w="314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eastAsia="仿宋" w:cs="仿宋"/>
                <w:color w:val="000000"/>
                <w:sz w:val="20"/>
                <w:szCs w:val="20"/>
              </w:rPr>
            </w:pPr>
            <w:r>
              <w:rPr>
                <w:rFonts w:hint="eastAsia" w:ascii="仿宋" w:eastAsia="仿宋" w:cs="仿宋"/>
                <w:color w:val="000000"/>
                <w:kern w:val="0"/>
                <w:sz w:val="20"/>
                <w:szCs w:val="20"/>
              </w:rPr>
              <w:t>财政拨款支出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1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5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eastAsia="仿宋" w:cs="仿宋"/>
                <w:color w:val="000000"/>
                <w:sz w:val="20"/>
                <w:szCs w:val="20"/>
              </w:rPr>
            </w:pPr>
            <w:r>
              <w:rPr>
                <w:rFonts w:hint="eastAsia" w:ascii="仿宋" w:eastAsia="仿宋" w:cs="仿宋"/>
                <w:color w:val="000000"/>
                <w:kern w:val="0"/>
                <w:sz w:val="20"/>
                <w:szCs w:val="20"/>
              </w:rPr>
              <w:t>小计</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eastAsia="仿宋" w:cs="仿宋"/>
                <w:color w:val="000000"/>
                <w:sz w:val="20"/>
                <w:szCs w:val="20"/>
              </w:rPr>
            </w:pPr>
            <w:r>
              <w:rPr>
                <w:rFonts w:hint="eastAsia" w:ascii="仿宋" w:eastAsia="仿宋" w:cs="仿宋"/>
                <w:color w:val="000000"/>
                <w:kern w:val="0"/>
                <w:sz w:val="20"/>
                <w:szCs w:val="20"/>
              </w:rPr>
              <w:t>一般公共预算财政拨款收入</w:t>
            </w:r>
          </w:p>
        </w:tc>
        <w:tc>
          <w:tcPr>
            <w:tcW w:w="15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eastAsia="仿宋" w:cs="仿宋"/>
                <w:color w:val="000000"/>
                <w:sz w:val="20"/>
                <w:szCs w:val="20"/>
              </w:rPr>
            </w:pPr>
            <w:r>
              <w:rPr>
                <w:rFonts w:hint="eastAsia" w:ascii="仿宋" w:eastAsia="仿宋" w:cs="仿宋"/>
                <w:color w:val="000000"/>
                <w:kern w:val="0"/>
                <w:sz w:val="20"/>
                <w:szCs w:val="20"/>
              </w:rPr>
              <w:t>政府性基金预算财政拨款收入</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eastAsia="仿宋" w:cs="仿宋"/>
                <w:color w:val="000000"/>
                <w:sz w:val="20"/>
                <w:szCs w:val="20"/>
              </w:rPr>
            </w:pPr>
            <w:r>
              <w:rPr>
                <w:rFonts w:hint="eastAsia" w:ascii="仿宋" w:eastAsia="仿宋" w:cs="仿宋"/>
                <w:color w:val="000000"/>
                <w:kern w:val="0"/>
                <w:sz w:val="20"/>
                <w:szCs w:val="20"/>
              </w:rPr>
              <w:t>小计</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eastAsia="仿宋" w:cs="仿宋"/>
                <w:color w:val="000000"/>
                <w:sz w:val="20"/>
                <w:szCs w:val="20"/>
              </w:rPr>
            </w:pPr>
            <w:r>
              <w:rPr>
                <w:rFonts w:hint="eastAsia" w:ascii="仿宋" w:eastAsia="仿宋" w:cs="仿宋"/>
                <w:color w:val="000000"/>
                <w:kern w:val="0"/>
                <w:sz w:val="20"/>
                <w:szCs w:val="20"/>
              </w:rPr>
              <w:t>一般公共预算财政拨款支出</w:t>
            </w:r>
          </w:p>
        </w:tc>
        <w:tc>
          <w:tcPr>
            <w:tcW w:w="11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eastAsia="仿宋" w:cs="仿宋"/>
                <w:color w:val="000000"/>
                <w:sz w:val="20"/>
                <w:szCs w:val="20"/>
              </w:rPr>
            </w:pPr>
            <w:r>
              <w:rPr>
                <w:rFonts w:hint="eastAsia" w:ascii="仿宋" w:eastAsia="仿宋" w:cs="仿宋"/>
                <w:color w:val="000000"/>
                <w:kern w:val="0"/>
                <w:sz w:val="20"/>
                <w:szCs w:val="20"/>
              </w:rPr>
              <w:t>政府性基金预算财政拨款支出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eastAsia="仿宋" w:cs="仿宋"/>
                <w:color w:val="000000"/>
                <w:sz w:val="20"/>
                <w:szCs w:val="20"/>
              </w:rPr>
            </w:pPr>
            <w:r>
              <w:rPr>
                <w:rFonts w:hint="eastAsia" w:ascii="仿宋" w:eastAsia="仿宋" w:cs="仿宋"/>
                <w:color w:val="000000"/>
                <w:kern w:val="0"/>
                <w:sz w:val="20"/>
                <w:szCs w:val="20"/>
              </w:rPr>
              <w:t>年初预算数（万元）</w:t>
            </w:r>
          </w:p>
        </w:tc>
        <w:tc>
          <w:tcPr>
            <w:tcW w:w="15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eastAsia="仿宋" w:cs="仿宋"/>
                <w:color w:val="000000"/>
                <w:sz w:val="24"/>
              </w:rPr>
            </w:pPr>
            <w:r>
              <w:rPr>
                <w:rFonts w:hint="eastAsia" w:ascii="仿宋" w:eastAsia="仿宋" w:cs="仿宋"/>
                <w:color w:val="000000"/>
                <w:sz w:val="24"/>
              </w:rPr>
              <w:t>1577.18</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eastAsia="仿宋" w:cs="仿宋"/>
                <w:color w:val="000000"/>
                <w:sz w:val="24"/>
              </w:rPr>
            </w:pPr>
            <w:r>
              <w:rPr>
                <w:rFonts w:hint="eastAsia" w:ascii="仿宋" w:eastAsia="仿宋" w:cs="仿宋"/>
                <w:color w:val="000000"/>
                <w:sz w:val="24"/>
              </w:rPr>
              <w:t>1551.18</w:t>
            </w:r>
          </w:p>
        </w:tc>
        <w:tc>
          <w:tcPr>
            <w:tcW w:w="15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eastAsia="仿宋" w:cs="仿宋"/>
                <w:color w:val="000000"/>
                <w:sz w:val="24"/>
                <w:lang w:val="en-US" w:eastAsia="zh-CN"/>
              </w:rPr>
            </w:pPr>
            <w:r>
              <w:rPr>
                <w:rFonts w:hint="eastAsia" w:ascii="仿宋" w:eastAsia="仿宋" w:cs="仿宋"/>
                <w:color w:val="000000"/>
                <w:sz w:val="24"/>
              </w:rPr>
              <w:t>26</w:t>
            </w:r>
            <w:r>
              <w:rPr>
                <w:rFonts w:hint="eastAsia" w:ascii="仿宋" w:eastAsia="仿宋" w:cs="仿宋"/>
                <w:color w:val="000000"/>
                <w:sz w:val="24"/>
                <w:lang w:val="en-US" w:eastAsia="zh-CN"/>
              </w:rPr>
              <w:t>.00</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eastAsia="仿宋" w:cs="仿宋"/>
                <w:color w:val="000000"/>
                <w:sz w:val="24"/>
              </w:rPr>
            </w:pPr>
            <w:r>
              <w:rPr>
                <w:rFonts w:hint="eastAsia" w:ascii="仿宋" w:eastAsia="仿宋" w:cs="仿宋"/>
                <w:color w:val="000000"/>
                <w:sz w:val="24"/>
              </w:rPr>
              <w:t>1577.18</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eastAsia="仿宋" w:cs="仿宋"/>
                <w:color w:val="000000"/>
                <w:sz w:val="24"/>
              </w:rPr>
            </w:pPr>
            <w:r>
              <w:rPr>
                <w:rFonts w:hint="eastAsia" w:ascii="仿宋" w:eastAsia="仿宋" w:cs="仿宋"/>
                <w:color w:val="000000"/>
                <w:sz w:val="24"/>
              </w:rPr>
              <w:t>1551.18</w:t>
            </w:r>
          </w:p>
        </w:tc>
        <w:tc>
          <w:tcPr>
            <w:tcW w:w="11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eastAsia="仿宋" w:cs="仿宋"/>
                <w:color w:val="000000"/>
                <w:sz w:val="24"/>
                <w:lang w:val="en-US" w:eastAsia="zh-CN"/>
              </w:rPr>
            </w:pPr>
            <w:r>
              <w:rPr>
                <w:rFonts w:hint="eastAsia" w:ascii="仿宋" w:eastAsia="仿宋" w:cs="仿宋"/>
                <w:color w:val="000000"/>
                <w:sz w:val="24"/>
              </w:rPr>
              <w:t>26</w:t>
            </w:r>
            <w:r>
              <w:rPr>
                <w:rFonts w:hint="eastAsia" w:ascii="仿宋" w:eastAsia="仿宋" w:cs="仿宋"/>
                <w:color w:val="000000"/>
                <w:sz w:val="24"/>
                <w:lang w:val="en-US" w:eastAsia="zh-CN"/>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eastAsia="仿宋" w:cs="仿宋"/>
                <w:color w:val="000000"/>
                <w:sz w:val="20"/>
                <w:szCs w:val="20"/>
              </w:rPr>
            </w:pPr>
            <w:r>
              <w:rPr>
                <w:rFonts w:hint="eastAsia" w:ascii="仿宋" w:eastAsia="仿宋" w:cs="仿宋"/>
                <w:color w:val="000000"/>
                <w:kern w:val="0"/>
                <w:sz w:val="20"/>
                <w:szCs w:val="20"/>
              </w:rPr>
              <w:t>决算数（万元）</w:t>
            </w:r>
          </w:p>
        </w:tc>
        <w:tc>
          <w:tcPr>
            <w:tcW w:w="15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eastAsia="仿宋" w:cs="仿宋"/>
                <w:color w:val="000000"/>
                <w:sz w:val="24"/>
              </w:rPr>
            </w:pPr>
            <w:r>
              <w:rPr>
                <w:rFonts w:hint="eastAsia" w:ascii="仿宋" w:eastAsia="仿宋" w:cs="仿宋"/>
                <w:color w:val="000000"/>
                <w:sz w:val="24"/>
              </w:rPr>
              <w:t>1895.26</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eastAsia="仿宋" w:cs="仿宋"/>
                <w:color w:val="000000"/>
                <w:sz w:val="24"/>
              </w:rPr>
            </w:pPr>
            <w:r>
              <w:rPr>
                <w:rFonts w:hint="eastAsia" w:ascii="仿宋" w:eastAsia="仿宋" w:cs="仿宋"/>
                <w:color w:val="000000"/>
                <w:sz w:val="24"/>
              </w:rPr>
              <w:t>1862.26</w:t>
            </w:r>
          </w:p>
        </w:tc>
        <w:tc>
          <w:tcPr>
            <w:tcW w:w="15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eastAsia="仿宋" w:cs="仿宋"/>
                <w:color w:val="000000"/>
                <w:sz w:val="24"/>
                <w:lang w:val="en-US" w:eastAsia="zh-CN"/>
              </w:rPr>
            </w:pPr>
            <w:r>
              <w:rPr>
                <w:rFonts w:hint="eastAsia" w:ascii="仿宋" w:eastAsia="仿宋" w:cs="仿宋"/>
                <w:color w:val="000000"/>
                <w:sz w:val="24"/>
              </w:rPr>
              <w:t>33</w:t>
            </w:r>
            <w:r>
              <w:rPr>
                <w:rFonts w:hint="eastAsia" w:ascii="仿宋" w:eastAsia="仿宋" w:cs="仿宋"/>
                <w:color w:val="000000"/>
                <w:sz w:val="24"/>
                <w:lang w:val="en-US" w:eastAsia="zh-CN"/>
              </w:rPr>
              <w:t>.00</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eastAsia="仿宋" w:cs="仿宋"/>
                <w:color w:val="000000"/>
                <w:sz w:val="24"/>
              </w:rPr>
            </w:pPr>
            <w:r>
              <w:rPr>
                <w:rFonts w:hint="eastAsia" w:ascii="仿宋" w:eastAsia="仿宋" w:cs="仿宋"/>
                <w:color w:val="000000"/>
                <w:sz w:val="24"/>
              </w:rPr>
              <w:t>1899.33</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eastAsia="仿宋" w:cs="仿宋"/>
                <w:color w:val="000000"/>
                <w:sz w:val="24"/>
              </w:rPr>
            </w:pPr>
            <w:r>
              <w:rPr>
                <w:rFonts w:hint="eastAsia" w:ascii="仿宋" w:eastAsia="仿宋" w:cs="仿宋"/>
                <w:color w:val="000000"/>
                <w:sz w:val="24"/>
              </w:rPr>
              <w:t>1866.33</w:t>
            </w:r>
          </w:p>
        </w:tc>
        <w:tc>
          <w:tcPr>
            <w:tcW w:w="11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eastAsia="仿宋" w:cs="仿宋"/>
                <w:color w:val="000000"/>
                <w:sz w:val="24"/>
                <w:lang w:val="en-US" w:eastAsia="zh-CN"/>
              </w:rPr>
            </w:pPr>
            <w:r>
              <w:rPr>
                <w:rFonts w:hint="eastAsia" w:ascii="仿宋" w:eastAsia="仿宋" w:cs="仿宋"/>
                <w:color w:val="000000"/>
                <w:sz w:val="24"/>
              </w:rPr>
              <w:t>33</w:t>
            </w:r>
            <w:r>
              <w:rPr>
                <w:rFonts w:hint="eastAsia" w:ascii="仿宋" w:eastAsia="仿宋" w:cs="仿宋"/>
                <w:color w:val="000000"/>
                <w:sz w:val="24"/>
                <w:lang w:val="en-US" w:eastAsia="zh-CN"/>
              </w:rPr>
              <w:t>.00</w:t>
            </w:r>
          </w:p>
        </w:tc>
      </w:tr>
    </w:tbl>
    <w:p>
      <w:pPr>
        <w:adjustRightInd w:val="0"/>
        <w:snapToGrid w:val="0"/>
        <w:spacing w:after="0" w:line="580" w:lineRule="exact"/>
        <w:rPr>
          <w:rFonts w:ascii="仿宋_GB2312" w:eastAsia="仿宋_GB2312" w:cs="DengXian-Regular"/>
          <w:sz w:val="32"/>
          <w:szCs w:val="32"/>
          <w:highlight w:val="yellow"/>
          <w:lang w:val="en-US" w:eastAsia="zh-CN"/>
        </w:rPr>
      </w:pPr>
    </w:p>
    <w:p>
      <w:pPr>
        <w:numPr>
          <w:ilvl w:val="0"/>
          <w:numId w:val="1"/>
        </w:numPr>
        <w:adjustRightInd w:val="0"/>
        <w:snapToGrid w:val="0"/>
        <w:spacing w:after="0" w:line="580" w:lineRule="exact"/>
        <w:ind w:left="420" w:leftChars="200"/>
        <w:rPr>
          <w:rFonts w:ascii="楷体_GB2312" w:eastAsia="楷体_GB2312" w:cs="DengXian-Bold"/>
          <w:b/>
          <w:bCs/>
          <w:sz w:val="32"/>
          <w:szCs w:val="32"/>
        </w:rPr>
      </w:pPr>
      <w:r>
        <w:rPr>
          <w:rFonts w:hint="eastAsia" w:ascii="仿宋" w:eastAsia="仿宋" w:cs="仿宋"/>
          <w:b/>
          <w:bCs/>
          <w:sz w:val="32"/>
          <w:szCs w:val="32"/>
        </w:rPr>
        <w:t>财政拨款支出决算结构情况</w:t>
      </w:r>
      <w:r>
        <w:rPr>
          <w:rFonts w:hint="eastAsia" w:ascii="楷体_GB2312" w:eastAsia="楷体_GB2312" w:cs="DengXian-Bold"/>
          <w:b/>
          <w:bCs/>
          <w:sz w:val="32"/>
          <w:szCs w:val="32"/>
        </w:rPr>
        <w:t>。</w:t>
      </w:r>
    </w:p>
    <w:p>
      <w:pPr>
        <w:adjustRightInd w:val="0"/>
        <w:snapToGrid w:val="0"/>
        <w:spacing w:after="0" w:line="580" w:lineRule="exact"/>
        <w:ind w:firstLine="640" w:firstLineChars="200"/>
        <w:rPr>
          <w:rFonts w:hint="eastAsia" w:ascii="仿宋" w:eastAsia="仿宋" w:cs="仿宋"/>
          <w:sz w:val="32"/>
          <w:szCs w:val="32"/>
        </w:rPr>
      </w:pPr>
      <w:r>
        <w:rPr>
          <w:rFonts w:hint="eastAsia" w:ascii="仿宋" w:eastAsia="仿宋" w:cs="仿宋"/>
          <w:sz w:val="32"/>
          <w:szCs w:val="32"/>
        </w:rPr>
        <w:t>2019年度财政拨款支出1866.33万元，主要用于以下方面一般公共服务支出1279.94万元，占68.58%；文化旅游体育与传媒支出526.59万元，占28.22%；社会保障和就业支出28.29万元，占1.52%；卫生健康支出12.03万元，占0.64%；住房保障支出19.48万元，占1.04%。</w:t>
      </w:r>
    </w:p>
    <w:tbl>
      <w:tblPr>
        <w:tblStyle w:val="13"/>
        <w:tblpPr w:leftFromText="180" w:rightFromText="180" w:vertAnchor="text" w:horzAnchor="page" w:tblpXSpec="center" w:tblpY="557"/>
        <w:tblOverlap w:val="never"/>
        <w:tblW w:w="8963" w:type="dxa"/>
        <w:tblInd w:w="0" w:type="dxa"/>
        <w:tblBorders>
          <w:top w:val="none" w:color="auto" w:sz="0" w:space="0"/>
          <w:left w:val="none" w:color="auto" w:sz="0" w:space="0"/>
          <w:bottom w:val="none" w:color="auto" w:sz="0" w:space="0"/>
          <w:right w:val="single" w:color="auto" w:sz="4" w:space="0"/>
          <w:insideH w:val="none" w:color="auto" w:sz="0" w:space="0"/>
          <w:insideV w:val="none" w:color="auto" w:sz="0" w:space="0"/>
        </w:tblBorders>
        <w:tblLayout w:type="fixed"/>
        <w:tblCellMar>
          <w:top w:w="15" w:type="dxa"/>
          <w:left w:w="15" w:type="dxa"/>
          <w:bottom w:w="15" w:type="dxa"/>
          <w:right w:w="15" w:type="dxa"/>
        </w:tblCellMar>
      </w:tblPr>
      <w:tblGrid>
        <w:gridCol w:w="955"/>
        <w:gridCol w:w="1483"/>
        <w:gridCol w:w="1642"/>
        <w:gridCol w:w="1670"/>
        <w:gridCol w:w="1663"/>
        <w:gridCol w:w="1550"/>
      </w:tblGrid>
      <w:tr>
        <w:tblPrEx>
          <w:tblBorders>
            <w:top w:val="none" w:color="auto" w:sz="0" w:space="0"/>
            <w:left w:val="none" w:color="auto" w:sz="0" w:space="0"/>
            <w:bottom w:val="none" w:color="auto" w:sz="0" w:space="0"/>
            <w:right w:val="single" w:color="auto" w:sz="4" w:space="0"/>
            <w:insideH w:val="none" w:color="auto" w:sz="0" w:space="0"/>
            <w:insideV w:val="none" w:color="auto" w:sz="0" w:space="0"/>
          </w:tblBorders>
          <w:tblCellMar>
            <w:top w:w="15" w:type="dxa"/>
            <w:left w:w="15" w:type="dxa"/>
            <w:bottom w:w="15" w:type="dxa"/>
            <w:right w:w="15" w:type="dxa"/>
          </w:tblCellMar>
        </w:tblPrEx>
        <w:trPr>
          <w:trHeight w:val="768" w:hRule="atLeast"/>
        </w:trPr>
        <w:tc>
          <w:tcPr>
            <w:tcW w:w="7413" w:type="dxa"/>
            <w:gridSpan w:val="5"/>
            <w:shd w:val="clear" w:color="auto" w:fill="auto"/>
            <w:vAlign w:val="center"/>
          </w:tcPr>
          <w:p>
            <w:pPr>
              <w:widowControl/>
              <w:jc w:val="center"/>
              <w:textAlignment w:val="center"/>
              <w:rPr>
                <w:rFonts w:hint="eastAsia" w:ascii="仿宋" w:eastAsia="仿宋" w:cs="仿宋"/>
                <w:color w:val="000000"/>
                <w:sz w:val="24"/>
              </w:rPr>
            </w:pPr>
            <w:r>
              <w:rPr>
                <w:rFonts w:hint="eastAsia" w:ascii="仿宋" w:eastAsia="仿宋" w:cs="仿宋"/>
                <w:color w:val="000000"/>
                <w:kern w:val="0"/>
                <w:sz w:val="24"/>
              </w:rPr>
              <w:t xml:space="preserve">     表5：财政拨款支出决算结构（按功能分类）</w:t>
            </w:r>
          </w:p>
        </w:tc>
        <w:tc>
          <w:tcPr>
            <w:tcW w:w="1550" w:type="dxa"/>
            <w:shd w:val="clear" w:color="auto" w:fill="auto"/>
            <w:vAlign w:val="center"/>
          </w:tcPr>
          <w:p>
            <w:pPr>
              <w:widowControl/>
              <w:jc w:val="center"/>
              <w:textAlignment w:val="center"/>
              <w:rPr>
                <w:rFonts w:hint="eastAsia" w:ascii="仿宋" w:eastAsia="仿宋" w:cs="仿宋"/>
                <w:color w:val="000000"/>
                <w:kern w:val="0"/>
                <w:sz w:val="24"/>
              </w:rPr>
            </w:pPr>
          </w:p>
        </w:tc>
      </w:tr>
      <w:tr>
        <w:tblPrEx>
          <w:tblBorders>
            <w:top w:val="none" w:color="auto" w:sz="0" w:space="0"/>
            <w:left w:val="none" w:color="auto" w:sz="0" w:space="0"/>
            <w:bottom w:val="none" w:color="auto" w:sz="0" w:space="0"/>
            <w:right w:val="single" w:color="auto" w:sz="4" w:space="0"/>
            <w:insideH w:val="none" w:color="auto" w:sz="0" w:space="0"/>
            <w:insideV w:val="none" w:color="auto" w:sz="0" w:space="0"/>
          </w:tblBorders>
          <w:tblCellMar>
            <w:top w:w="15" w:type="dxa"/>
            <w:left w:w="15" w:type="dxa"/>
            <w:bottom w:w="15" w:type="dxa"/>
            <w:right w:w="15" w:type="dxa"/>
          </w:tblCellMar>
        </w:tblPrEx>
        <w:trPr>
          <w:trHeight w:val="1953" w:hRule="atLeast"/>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eastAsia="仿宋" w:cs="仿宋"/>
                <w:color w:val="000000"/>
                <w:sz w:val="20"/>
                <w:szCs w:val="20"/>
              </w:rPr>
            </w:pPr>
            <w:r>
              <w:rPr>
                <w:rFonts w:hint="eastAsia" w:ascii="仿宋" w:eastAsia="仿宋" w:cs="仿宋"/>
                <w:color w:val="000000"/>
                <w:kern w:val="0"/>
                <w:sz w:val="20"/>
                <w:szCs w:val="20"/>
              </w:rPr>
              <w:t>项目</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eastAsia="仿宋" w:cs="仿宋"/>
                <w:color w:val="000000"/>
                <w:sz w:val="20"/>
                <w:szCs w:val="20"/>
              </w:rPr>
            </w:pPr>
            <w:r>
              <w:rPr>
                <w:rFonts w:hint="eastAsia" w:ascii="仿宋" w:eastAsia="仿宋" w:cs="仿宋"/>
                <w:color w:val="000000"/>
                <w:kern w:val="0"/>
                <w:sz w:val="20"/>
                <w:szCs w:val="20"/>
              </w:rPr>
              <w:t>一般公共服务支出支出</w:t>
            </w:r>
          </w:p>
        </w:tc>
        <w:tc>
          <w:tcPr>
            <w:tcW w:w="16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eastAsia="仿宋" w:cs="仿宋"/>
                <w:color w:val="000000"/>
                <w:sz w:val="20"/>
                <w:szCs w:val="20"/>
              </w:rPr>
            </w:pPr>
            <w:r>
              <w:rPr>
                <w:rFonts w:hint="eastAsia" w:ascii="仿宋" w:eastAsia="仿宋" w:cs="仿宋"/>
                <w:color w:val="000000"/>
                <w:kern w:val="0"/>
                <w:sz w:val="20"/>
                <w:szCs w:val="20"/>
              </w:rPr>
              <w:t>文化旅游体育与传媒支出</w:t>
            </w:r>
          </w:p>
        </w:tc>
        <w:tc>
          <w:tcPr>
            <w:tcW w:w="16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eastAsia="仿宋" w:cs="仿宋"/>
                <w:color w:val="000000"/>
                <w:sz w:val="20"/>
                <w:szCs w:val="20"/>
              </w:rPr>
            </w:pPr>
            <w:r>
              <w:rPr>
                <w:rFonts w:hint="eastAsia" w:ascii="仿宋" w:eastAsia="仿宋" w:cs="仿宋"/>
                <w:color w:val="000000"/>
                <w:kern w:val="0"/>
                <w:sz w:val="20"/>
                <w:szCs w:val="20"/>
              </w:rPr>
              <w:t>社会保障和就业支出</w:t>
            </w:r>
          </w:p>
        </w:tc>
        <w:tc>
          <w:tcPr>
            <w:tcW w:w="1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eastAsia="仿宋" w:cs="仿宋"/>
                <w:color w:val="000000"/>
                <w:kern w:val="0"/>
                <w:sz w:val="20"/>
                <w:szCs w:val="20"/>
              </w:rPr>
            </w:pPr>
            <w:r>
              <w:rPr>
                <w:rFonts w:hint="eastAsia" w:ascii="仿宋" w:eastAsia="仿宋" w:cs="仿宋"/>
                <w:color w:val="000000"/>
                <w:kern w:val="0"/>
                <w:sz w:val="20"/>
                <w:szCs w:val="20"/>
              </w:rPr>
              <w:t>卫生健康支出</w:t>
            </w:r>
          </w:p>
        </w:tc>
        <w:tc>
          <w:tcPr>
            <w:tcW w:w="1550" w:type="dxa"/>
            <w:tcBorders>
              <w:top w:val="single" w:color="000000" w:sz="4" w:space="0"/>
              <w:left w:val="single" w:color="000000" w:sz="4" w:space="0"/>
              <w:bottom w:val="single" w:color="000000" w:sz="4" w:space="0"/>
            </w:tcBorders>
            <w:shd w:val="clear" w:color="auto" w:fill="auto"/>
            <w:vAlign w:val="center"/>
          </w:tcPr>
          <w:p>
            <w:pPr>
              <w:widowControl/>
              <w:tabs>
                <w:tab w:val="left" w:pos="748"/>
              </w:tabs>
              <w:jc w:val="center"/>
              <w:textAlignment w:val="center"/>
              <w:rPr>
                <w:rFonts w:hint="eastAsia" w:ascii="仿宋" w:eastAsia="仿宋" w:cs="仿宋"/>
                <w:color w:val="000000"/>
                <w:kern w:val="0"/>
                <w:sz w:val="20"/>
                <w:szCs w:val="20"/>
              </w:rPr>
            </w:pPr>
            <w:r>
              <w:rPr>
                <w:rFonts w:hint="eastAsia" w:ascii="仿宋" w:eastAsia="仿宋" w:cs="仿宋"/>
                <w:color w:val="000000"/>
                <w:kern w:val="0"/>
                <w:sz w:val="20"/>
                <w:szCs w:val="20"/>
              </w:rPr>
              <w:t>住房保障支出</w:t>
            </w:r>
          </w:p>
        </w:tc>
      </w:tr>
      <w:tr>
        <w:tblPrEx>
          <w:tblBorders>
            <w:top w:val="none" w:color="auto" w:sz="0" w:space="0"/>
            <w:left w:val="none" w:color="auto" w:sz="0" w:space="0"/>
            <w:bottom w:val="none" w:color="auto" w:sz="0" w:space="0"/>
            <w:right w:val="single" w:color="auto" w:sz="4" w:space="0"/>
            <w:insideH w:val="none" w:color="auto" w:sz="0" w:space="0"/>
            <w:insideV w:val="none" w:color="auto" w:sz="0" w:space="0"/>
          </w:tblBorders>
          <w:tblCellMar>
            <w:top w:w="15" w:type="dxa"/>
            <w:left w:w="15" w:type="dxa"/>
            <w:bottom w:w="15" w:type="dxa"/>
            <w:right w:w="15" w:type="dxa"/>
          </w:tblCellMar>
        </w:tblPrEx>
        <w:trPr>
          <w:trHeight w:val="786" w:hRule="atLeast"/>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eastAsia="仿宋" w:cs="仿宋"/>
                <w:color w:val="000000"/>
                <w:sz w:val="20"/>
                <w:szCs w:val="20"/>
              </w:rPr>
            </w:pPr>
            <w:r>
              <w:rPr>
                <w:rFonts w:hint="eastAsia" w:ascii="仿宋" w:eastAsia="仿宋" w:cs="仿宋"/>
                <w:color w:val="000000"/>
                <w:kern w:val="0"/>
                <w:sz w:val="20"/>
                <w:szCs w:val="20"/>
              </w:rPr>
              <w:t>金额（万元）</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eastAsia="仿宋" w:cs="仿宋"/>
                <w:color w:val="000000"/>
                <w:sz w:val="24"/>
              </w:rPr>
            </w:pPr>
            <w:r>
              <w:rPr>
                <w:rFonts w:hint="eastAsia" w:ascii="仿宋" w:eastAsia="仿宋" w:cs="仿宋"/>
                <w:color w:val="000000"/>
                <w:sz w:val="24"/>
              </w:rPr>
              <w:t>1279.94</w:t>
            </w:r>
          </w:p>
        </w:tc>
        <w:tc>
          <w:tcPr>
            <w:tcW w:w="16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eastAsia="仿宋" w:cs="仿宋"/>
                <w:color w:val="000000"/>
                <w:sz w:val="24"/>
              </w:rPr>
            </w:pPr>
            <w:r>
              <w:rPr>
                <w:rFonts w:hint="eastAsia" w:ascii="仿宋" w:eastAsia="仿宋" w:cs="仿宋"/>
                <w:color w:val="000000"/>
                <w:sz w:val="24"/>
              </w:rPr>
              <w:t>526.59</w:t>
            </w:r>
          </w:p>
        </w:tc>
        <w:tc>
          <w:tcPr>
            <w:tcW w:w="16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eastAsia="仿宋" w:cs="仿宋"/>
                <w:color w:val="000000"/>
                <w:sz w:val="24"/>
              </w:rPr>
            </w:pPr>
            <w:r>
              <w:rPr>
                <w:rFonts w:hint="eastAsia" w:ascii="仿宋" w:eastAsia="仿宋" w:cs="仿宋"/>
                <w:color w:val="000000"/>
                <w:sz w:val="24"/>
              </w:rPr>
              <w:t>28.29</w:t>
            </w:r>
          </w:p>
        </w:tc>
        <w:tc>
          <w:tcPr>
            <w:tcW w:w="16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eastAsia="仿宋" w:cs="仿宋"/>
                <w:color w:val="000000"/>
                <w:sz w:val="24"/>
              </w:rPr>
            </w:pPr>
            <w:r>
              <w:rPr>
                <w:rFonts w:hint="eastAsia" w:ascii="仿宋" w:eastAsia="仿宋" w:cs="仿宋"/>
                <w:color w:val="000000"/>
                <w:sz w:val="24"/>
              </w:rPr>
              <w:t>12.03</w:t>
            </w:r>
          </w:p>
        </w:tc>
        <w:tc>
          <w:tcPr>
            <w:tcW w:w="1550" w:type="dxa"/>
            <w:tcBorders>
              <w:top w:val="single" w:color="000000" w:sz="4" w:space="0"/>
              <w:left w:val="single" w:color="000000" w:sz="4" w:space="0"/>
              <w:bottom w:val="single" w:color="000000" w:sz="4" w:space="0"/>
            </w:tcBorders>
            <w:shd w:val="clear" w:color="auto" w:fill="auto"/>
            <w:vAlign w:val="center"/>
          </w:tcPr>
          <w:p>
            <w:pPr>
              <w:jc w:val="center"/>
              <w:rPr>
                <w:rFonts w:hint="eastAsia" w:ascii="仿宋" w:eastAsia="仿宋" w:cs="仿宋"/>
                <w:color w:val="000000"/>
                <w:sz w:val="24"/>
              </w:rPr>
            </w:pPr>
            <w:r>
              <w:rPr>
                <w:rFonts w:hint="eastAsia" w:ascii="仿宋" w:eastAsia="仿宋" w:cs="仿宋"/>
                <w:color w:val="000000"/>
                <w:sz w:val="24"/>
              </w:rPr>
              <w:t>19.48</w:t>
            </w:r>
          </w:p>
        </w:tc>
      </w:tr>
      <w:tr>
        <w:tblPrEx>
          <w:tblBorders>
            <w:top w:val="none" w:color="auto" w:sz="0" w:space="0"/>
            <w:left w:val="none" w:color="auto" w:sz="0" w:space="0"/>
            <w:bottom w:val="none" w:color="auto" w:sz="0" w:space="0"/>
            <w:right w:val="single" w:color="auto" w:sz="4" w:space="0"/>
            <w:insideH w:val="none" w:color="auto" w:sz="0" w:space="0"/>
            <w:insideV w:val="none" w:color="auto" w:sz="0" w:space="0"/>
          </w:tblBorders>
          <w:tblCellMar>
            <w:top w:w="15" w:type="dxa"/>
            <w:left w:w="15" w:type="dxa"/>
            <w:bottom w:w="15" w:type="dxa"/>
            <w:right w:w="15" w:type="dxa"/>
          </w:tblCellMar>
        </w:tblPrEx>
        <w:trPr>
          <w:trHeight w:val="804" w:hRule="atLeast"/>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eastAsia="仿宋" w:cs="仿宋"/>
                <w:color w:val="000000"/>
                <w:sz w:val="20"/>
                <w:szCs w:val="20"/>
              </w:rPr>
            </w:pPr>
            <w:r>
              <w:rPr>
                <w:rFonts w:hint="eastAsia" w:ascii="仿宋" w:eastAsia="仿宋" w:cs="仿宋"/>
                <w:color w:val="000000"/>
                <w:kern w:val="0"/>
                <w:sz w:val="20"/>
                <w:szCs w:val="20"/>
              </w:rPr>
              <w:t>占比（%）</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eastAsia="仿宋" w:cs="仿宋"/>
                <w:color w:val="000000"/>
                <w:sz w:val="24"/>
              </w:rPr>
            </w:pPr>
            <w:r>
              <w:rPr>
                <w:rFonts w:hint="eastAsia" w:ascii="仿宋" w:eastAsia="仿宋" w:cs="仿宋"/>
                <w:color w:val="000000"/>
                <w:sz w:val="24"/>
              </w:rPr>
              <w:t>68.58</w:t>
            </w:r>
          </w:p>
        </w:tc>
        <w:tc>
          <w:tcPr>
            <w:tcW w:w="16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eastAsia="仿宋" w:cs="仿宋"/>
                <w:color w:val="000000"/>
                <w:sz w:val="24"/>
              </w:rPr>
            </w:pPr>
            <w:r>
              <w:rPr>
                <w:rFonts w:hint="eastAsia" w:ascii="仿宋" w:eastAsia="仿宋" w:cs="仿宋"/>
                <w:color w:val="000000"/>
                <w:sz w:val="24"/>
              </w:rPr>
              <w:t>28.22</w:t>
            </w:r>
          </w:p>
        </w:tc>
        <w:tc>
          <w:tcPr>
            <w:tcW w:w="16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eastAsia="仿宋" w:cs="仿宋"/>
                <w:color w:val="000000"/>
                <w:sz w:val="24"/>
              </w:rPr>
            </w:pPr>
            <w:r>
              <w:rPr>
                <w:rFonts w:hint="eastAsia" w:ascii="仿宋" w:eastAsia="仿宋" w:cs="仿宋"/>
                <w:color w:val="000000"/>
                <w:sz w:val="24"/>
              </w:rPr>
              <w:t>1.52</w:t>
            </w:r>
          </w:p>
        </w:tc>
        <w:tc>
          <w:tcPr>
            <w:tcW w:w="16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eastAsia="仿宋" w:cs="仿宋"/>
                <w:color w:val="000000"/>
                <w:sz w:val="24"/>
              </w:rPr>
            </w:pPr>
            <w:r>
              <w:rPr>
                <w:rFonts w:hint="eastAsia" w:ascii="仿宋" w:eastAsia="仿宋" w:cs="仿宋"/>
                <w:color w:val="000000"/>
                <w:sz w:val="24"/>
              </w:rPr>
              <w:t>0.64</w:t>
            </w:r>
          </w:p>
        </w:tc>
        <w:tc>
          <w:tcPr>
            <w:tcW w:w="1550" w:type="dxa"/>
            <w:tcBorders>
              <w:top w:val="single" w:color="000000" w:sz="4" w:space="0"/>
              <w:left w:val="single" w:color="000000" w:sz="4" w:space="0"/>
              <w:bottom w:val="single" w:color="000000" w:sz="4" w:space="0"/>
            </w:tcBorders>
            <w:shd w:val="clear" w:color="auto" w:fill="auto"/>
            <w:vAlign w:val="center"/>
          </w:tcPr>
          <w:p>
            <w:pPr>
              <w:jc w:val="center"/>
              <w:rPr>
                <w:rFonts w:hint="eastAsia" w:ascii="仿宋" w:eastAsia="仿宋" w:cs="仿宋"/>
                <w:color w:val="000000"/>
                <w:sz w:val="24"/>
              </w:rPr>
            </w:pPr>
            <w:r>
              <w:rPr>
                <w:rFonts w:hint="eastAsia" w:ascii="仿宋" w:eastAsia="仿宋" w:cs="仿宋"/>
                <w:color w:val="000000"/>
                <w:sz w:val="24"/>
              </w:rPr>
              <w:t>1.04</w:t>
            </w:r>
          </w:p>
        </w:tc>
      </w:tr>
    </w:tbl>
    <w:p>
      <w:pPr>
        <w:adjustRightInd w:val="0"/>
        <w:snapToGrid w:val="0"/>
        <w:spacing w:after="0" w:line="580" w:lineRule="exact"/>
        <w:rPr>
          <w:rFonts w:ascii="仿宋_GB2312" w:eastAsia="仿宋_GB2312" w:cs="DengXian-Regular"/>
          <w:sz w:val="32"/>
          <w:szCs w:val="32"/>
          <w:highlight w:val="yellow"/>
        </w:rPr>
      </w:pPr>
    </w:p>
    <w:p>
      <w:pPr>
        <w:adjustRightInd w:val="0"/>
        <w:snapToGrid w:val="0"/>
        <w:spacing w:after="0" w:line="580" w:lineRule="exact"/>
        <w:ind w:left="420" w:leftChars="200"/>
        <w:rPr>
          <w:rFonts w:hint="eastAsia" w:ascii="仿宋" w:eastAsia="仿宋" w:cs="仿宋"/>
          <w:b/>
          <w:bCs/>
          <w:sz w:val="32"/>
          <w:szCs w:val="32"/>
        </w:rPr>
      </w:pPr>
      <w:r>
        <w:rPr>
          <w:rFonts w:hint="eastAsia" w:ascii="仿宋" w:eastAsia="仿宋" w:cs="仿宋"/>
          <w:b/>
          <w:bCs/>
          <w:sz w:val="32"/>
          <w:szCs w:val="32"/>
        </w:rPr>
        <w:t>（四）一般公共预算基本支出决算情况说明</w:t>
      </w:r>
    </w:p>
    <w:p>
      <w:pPr>
        <w:adjustRightInd w:val="0"/>
        <w:snapToGrid w:val="0"/>
        <w:spacing w:after="0" w:line="580" w:lineRule="exact"/>
        <w:ind w:firstLine="640" w:firstLineChars="200"/>
        <w:rPr>
          <w:rFonts w:hint="eastAsia" w:ascii="仿宋" w:eastAsia="仿宋" w:cs="仿宋"/>
          <w:sz w:val="32"/>
          <w:szCs w:val="32"/>
        </w:rPr>
      </w:pPr>
      <w:bookmarkStart w:id="0" w:name="_Hlk51834005"/>
      <w:r>
        <w:rPr>
          <w:rFonts w:hint="eastAsia" w:ascii="仿宋" w:eastAsia="仿宋" w:cs="仿宋"/>
          <w:sz w:val="32"/>
          <w:szCs w:val="32"/>
        </w:rPr>
        <w:t>2019年度财政拨款基本支出643.49万元，其中：人员经费 360.59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公用经费282.9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w:t>
      </w:r>
    </w:p>
    <w:p>
      <w:pPr>
        <w:pStyle w:val="3"/>
        <w:spacing w:before="0" w:after="0" w:line="580" w:lineRule="exact"/>
        <w:ind w:firstLine="640" w:firstLineChars="200"/>
        <w:rPr>
          <w:rFonts w:hint="eastAsia" w:ascii="仿宋" w:eastAsia="仿宋" w:cs="仿宋"/>
          <w:b w:val="0"/>
          <w:bCs w:val="0"/>
          <w:color w:val="FF0000"/>
        </w:rPr>
      </w:pPr>
      <w:r>
        <w:rPr>
          <w:rFonts w:hint="eastAsia" w:ascii="仿宋" w:eastAsia="仿宋" w:cs="仿宋"/>
          <w:b w:val="0"/>
          <w:bCs w:val="0"/>
        </w:rPr>
        <w:t>五、一般公共预算 “三公” 经费支出决算情况说明</w:t>
      </w:r>
    </w:p>
    <w:p>
      <w:pPr>
        <w:adjustRightInd w:val="0"/>
        <w:snapToGrid w:val="0"/>
        <w:spacing w:line="584" w:lineRule="exact"/>
        <w:ind w:firstLine="640" w:firstLineChars="200"/>
        <w:rPr>
          <w:rFonts w:hint="eastAsia" w:ascii="仿宋" w:eastAsia="仿宋" w:cs="仿宋"/>
          <w:sz w:val="32"/>
          <w:szCs w:val="32"/>
          <w:highlight w:val="none"/>
        </w:rPr>
      </w:pPr>
      <w:r>
        <w:rPr>
          <w:rFonts w:hint="eastAsia" w:ascii="仿宋" w:eastAsia="仿宋" w:cs="仿宋"/>
          <w:sz w:val="32"/>
          <w:szCs w:val="32"/>
        </w:rPr>
        <w:t>本部门2019年度 “三公”经费支出共计4.9万元，完成预算的91.42%，较预算减少0.46万元，降低8.58%，</w:t>
      </w:r>
      <w:r>
        <w:rPr>
          <w:rFonts w:hint="eastAsia" w:ascii="仿宋" w:eastAsia="仿宋" w:cs="仿宋"/>
          <w:sz w:val="32"/>
          <w:szCs w:val="32"/>
          <w:highlight w:val="none"/>
        </w:rPr>
        <w:t>主要是节约成本，厉行节约；较2018年度减少0.71万元，降低12.66%，主要是加强和规范公务用车管理，压减公务用车运行费。具体情况如下：</w:t>
      </w:r>
    </w:p>
    <w:p>
      <w:pPr>
        <w:adjustRightInd w:val="0"/>
        <w:snapToGrid w:val="0"/>
        <w:spacing w:line="584" w:lineRule="exact"/>
        <w:ind w:firstLine="643" w:firstLineChars="200"/>
        <w:rPr>
          <w:rFonts w:hint="eastAsia" w:ascii="仿宋" w:eastAsia="仿宋" w:cs="仿宋"/>
          <w:sz w:val="32"/>
          <w:szCs w:val="32"/>
          <w:highlight w:val="none"/>
        </w:rPr>
      </w:pPr>
      <w:r>
        <w:rPr>
          <w:rFonts w:hint="eastAsia" w:ascii="仿宋" w:eastAsia="仿宋" w:cs="仿宋"/>
          <w:b/>
          <w:bCs/>
          <w:sz w:val="32"/>
          <w:szCs w:val="32"/>
        </w:rPr>
        <w:t>（一）因公出国（境）费支出0万元。</w:t>
      </w:r>
      <w:r>
        <w:rPr>
          <w:rFonts w:hint="eastAsia" w:ascii="仿宋" w:eastAsia="仿宋" w:cs="仿宋"/>
          <w:sz w:val="32"/>
          <w:szCs w:val="32"/>
        </w:rPr>
        <w:t>本部门2019年度因公出国（境）团组0个、共0人/参加其他单位组织的因公出国（境）团组0个、共0人/无本单位组织的出国（境）团组。因公出国（境）费支出较年初预算无增减变化，</w:t>
      </w:r>
      <w:r>
        <w:rPr>
          <w:rFonts w:hint="eastAsia" w:ascii="仿宋" w:eastAsia="仿宋" w:cs="仿宋"/>
          <w:sz w:val="32"/>
          <w:szCs w:val="32"/>
          <w:highlight w:val="none"/>
        </w:rPr>
        <w:t>主要是无因公出国境安排；较2018年度决算无增减变化，主要是未发生因公出国境费支出。</w:t>
      </w:r>
    </w:p>
    <w:p>
      <w:pPr>
        <w:adjustRightInd w:val="0"/>
        <w:snapToGrid w:val="0"/>
        <w:spacing w:line="584" w:lineRule="exact"/>
        <w:ind w:firstLine="643" w:firstLineChars="200"/>
        <w:rPr>
          <w:rFonts w:hint="eastAsia" w:ascii="仿宋" w:eastAsia="仿宋" w:cs="仿宋"/>
          <w:sz w:val="32"/>
          <w:szCs w:val="32"/>
          <w:highlight w:val="none"/>
        </w:rPr>
      </w:pPr>
      <w:r>
        <w:rPr>
          <w:rFonts w:hint="eastAsia" w:ascii="仿宋" w:eastAsia="仿宋" w:cs="仿宋"/>
          <w:b/>
          <w:sz w:val="32"/>
          <w:szCs w:val="32"/>
          <w:highlight w:val="none"/>
        </w:rPr>
        <w:t>（二）公务用车购置及运行维护费支出4.9万元。</w:t>
      </w:r>
      <w:r>
        <w:rPr>
          <w:rFonts w:hint="eastAsia" w:ascii="仿宋" w:eastAsia="仿宋" w:cs="仿宋"/>
          <w:sz w:val="32"/>
          <w:szCs w:val="32"/>
          <w:highlight w:val="none"/>
        </w:rPr>
        <w:t>本部门2019年度公务用车购置及运行维护费较预算减少0.1万元，降低2%，主要是节约成本，厉行节约；较上年减少0.71万元，降低12.66%，主要是加强和规范公务用车管理，压减公务用车运行费。其中：</w:t>
      </w:r>
    </w:p>
    <w:p>
      <w:pPr>
        <w:adjustRightInd w:val="0"/>
        <w:snapToGrid w:val="0"/>
        <w:spacing w:line="584" w:lineRule="exact"/>
        <w:ind w:firstLine="643" w:firstLineChars="200"/>
        <w:rPr>
          <w:rFonts w:hint="eastAsia" w:ascii="仿宋" w:eastAsia="仿宋" w:cs="仿宋"/>
          <w:sz w:val="32"/>
          <w:szCs w:val="32"/>
        </w:rPr>
      </w:pPr>
      <w:r>
        <w:rPr>
          <w:rFonts w:hint="eastAsia" w:ascii="仿宋" w:eastAsia="仿宋" w:cs="仿宋"/>
          <w:b/>
          <w:sz w:val="32"/>
          <w:szCs w:val="32"/>
        </w:rPr>
        <w:t>公务用车购置费：</w:t>
      </w:r>
      <w:r>
        <w:rPr>
          <w:rFonts w:hint="eastAsia" w:ascii="仿宋" w:eastAsia="仿宋" w:cs="仿宋"/>
          <w:sz w:val="32"/>
          <w:szCs w:val="32"/>
        </w:rPr>
        <w:t>本部门2019年度公务用车购置量0辆，发生“公务用车购置”经费支出0万元。公务用车购置费支出与年初预算持平,主要是未安排公用用车购置费;与2018年度决算支出持平，主要是未安排公用用车购置费。</w:t>
      </w:r>
    </w:p>
    <w:p>
      <w:pPr>
        <w:adjustRightInd w:val="0"/>
        <w:snapToGrid w:val="0"/>
        <w:spacing w:line="580" w:lineRule="exact"/>
        <w:ind w:firstLine="643" w:firstLineChars="200"/>
        <w:rPr>
          <w:rFonts w:hint="eastAsia" w:ascii="仿宋" w:eastAsia="仿宋" w:cs="仿宋"/>
          <w:sz w:val="32"/>
          <w:szCs w:val="32"/>
        </w:rPr>
      </w:pPr>
      <w:r>
        <w:rPr>
          <w:rFonts w:hint="eastAsia" w:ascii="仿宋" w:eastAsia="仿宋" w:cs="仿宋"/>
          <w:b/>
          <w:sz w:val="32"/>
          <w:szCs w:val="32"/>
        </w:rPr>
        <w:t>公务用车运行维护费：</w:t>
      </w:r>
      <w:r>
        <w:rPr>
          <w:rFonts w:hint="eastAsia" w:ascii="仿宋" w:eastAsia="仿宋" w:cs="仿宋"/>
          <w:sz w:val="32"/>
          <w:szCs w:val="32"/>
        </w:rPr>
        <w:t>本部门2019年度单位公务用车保有量2辆。公车运行维护费支出较预算减少0.1万元，降低2%,主要是主要是节约成本，厉行节约；较上年减少0.71万元，降低12.66%，主要是加强和规范公务用车管理，压减公务用车运行费。</w:t>
      </w:r>
    </w:p>
    <w:p>
      <w:pPr>
        <w:adjustRightInd w:val="0"/>
        <w:snapToGrid w:val="0"/>
        <w:spacing w:line="580" w:lineRule="exact"/>
        <w:ind w:firstLine="643" w:firstLineChars="200"/>
        <w:rPr>
          <w:rFonts w:hint="eastAsia" w:ascii="仿宋" w:eastAsia="仿宋" w:cs="仿宋"/>
          <w:sz w:val="32"/>
          <w:szCs w:val="32"/>
        </w:rPr>
      </w:pPr>
      <w:r>
        <w:rPr>
          <w:rFonts w:hint="eastAsia" w:ascii="仿宋" w:eastAsia="仿宋" w:cs="仿宋"/>
          <w:b/>
          <w:bCs/>
          <w:sz w:val="32"/>
          <w:szCs w:val="32"/>
        </w:rPr>
        <w:t>（三）公务接待费支出0万元。</w:t>
      </w:r>
      <w:r>
        <w:rPr>
          <w:rFonts w:hint="eastAsia" w:ascii="仿宋" w:eastAsia="仿宋" w:cs="仿宋"/>
          <w:sz w:val="32"/>
          <w:szCs w:val="32"/>
        </w:rPr>
        <w:t>本部门2019年度公务接待共0批次、0人次。公务接待费支出较预算减少0.36万元，降低100%,主要是未发生公务接待费用；较2018年度决算无增减变化，主要是未发生公务接待费用。</w:t>
      </w:r>
    </w:p>
    <w:p>
      <w:pPr>
        <w:adjustRightInd w:val="0"/>
        <w:snapToGrid w:val="0"/>
        <w:spacing w:line="580" w:lineRule="exact"/>
        <w:ind w:firstLine="640" w:firstLineChars="200"/>
        <w:rPr>
          <w:rFonts w:hint="eastAsia" w:ascii="仿宋" w:eastAsia="仿宋" w:cs="仿宋"/>
          <w:sz w:val="32"/>
          <w:szCs w:val="40"/>
        </w:rPr>
      </w:pPr>
      <w:r>
        <w:rPr>
          <w:rFonts w:hint="eastAsia" w:ascii="仿宋" w:eastAsia="仿宋" w:cs="仿宋"/>
          <w:sz w:val="32"/>
          <w:szCs w:val="40"/>
        </w:rPr>
        <w:t>六、预算绩效情况说明</w:t>
      </w:r>
    </w:p>
    <w:p>
      <w:pPr>
        <w:adjustRightInd w:val="0"/>
        <w:snapToGrid w:val="0"/>
        <w:spacing w:line="580" w:lineRule="exact"/>
        <w:ind w:firstLine="643" w:firstLineChars="200"/>
        <w:rPr>
          <w:rFonts w:hint="eastAsia" w:ascii="仿宋" w:eastAsia="仿宋" w:cs="仿宋"/>
          <w:b/>
          <w:bCs/>
          <w:sz w:val="32"/>
          <w:szCs w:val="32"/>
          <w:highlight w:val="none"/>
        </w:rPr>
      </w:pPr>
      <w:r>
        <w:rPr>
          <w:rFonts w:hint="eastAsia" w:ascii="仿宋" w:eastAsia="仿宋" w:cs="仿宋"/>
          <w:b/>
          <w:bCs/>
          <w:sz w:val="32"/>
          <w:szCs w:val="32"/>
          <w:highlight w:val="none"/>
        </w:rPr>
        <w:t>1. 预算绩效管理工作开展情况。</w:t>
      </w:r>
    </w:p>
    <w:p>
      <w:pPr>
        <w:spacing w:line="520" w:lineRule="exact"/>
        <w:ind w:firstLine="1280" w:firstLineChars="400"/>
        <w:rPr>
          <w:rFonts w:hint="eastAsia" w:ascii="仿宋" w:eastAsia="仿宋" w:cs="仿宋"/>
          <w:sz w:val="32"/>
          <w:szCs w:val="32"/>
          <w:highlight w:val="none"/>
        </w:rPr>
      </w:pPr>
      <w:bookmarkStart w:id="1" w:name="_Toc23578"/>
      <w:bookmarkStart w:id="2" w:name="_Toc15045"/>
      <w:bookmarkStart w:id="3" w:name="_Toc25345"/>
      <w:r>
        <w:rPr>
          <w:rFonts w:hint="eastAsia" w:ascii="仿宋_GB2312" w:eastAsia="仿宋_GB2312" w:cs="仿宋_GB2312"/>
          <w:sz w:val="32"/>
          <w:szCs w:val="32"/>
        </w:rPr>
        <w:t>根据预算绩效管理要求，本部门组织对2019年度一般公共预算项目支出全面开展绩效自评，其中，项目</w:t>
      </w:r>
      <w:r>
        <w:rPr>
          <w:rFonts w:ascii="仿宋_GB2312" w:eastAsia="仿宋_GB2312" w:cs="仿宋_GB2312"/>
          <w:sz w:val="32"/>
          <w:szCs w:val="32"/>
        </w:rPr>
        <w:t>17</w:t>
      </w:r>
      <w:r>
        <w:rPr>
          <w:rFonts w:hint="eastAsia" w:ascii="仿宋_GB2312" w:eastAsia="仿宋_GB2312" w:cs="仿宋_GB2312"/>
          <w:sz w:val="32"/>
          <w:szCs w:val="32"/>
        </w:rPr>
        <w:t>个，共涉及资金</w:t>
      </w:r>
      <w:r>
        <w:rPr>
          <w:rFonts w:ascii="仿宋_GB2312" w:eastAsia="仿宋_GB2312" w:cs="仿宋_GB2312"/>
          <w:sz w:val="32"/>
          <w:szCs w:val="32"/>
        </w:rPr>
        <w:t>1805.61</w:t>
      </w:r>
      <w:r>
        <w:rPr>
          <w:rFonts w:hint="eastAsia" w:ascii="仿宋_GB2312" w:eastAsia="仿宋_GB2312" w:cs="仿宋_GB2312"/>
          <w:sz w:val="32"/>
          <w:szCs w:val="32"/>
        </w:rPr>
        <w:t>万元，占一般公共预算项目支出总额的</w:t>
      </w:r>
      <w:r>
        <w:rPr>
          <w:rFonts w:ascii="仿宋_GB2312" w:eastAsia="仿宋_GB2312" w:cs="仿宋_GB2312"/>
          <w:sz w:val="32"/>
          <w:szCs w:val="32"/>
        </w:rPr>
        <w:t>96</w:t>
      </w:r>
      <w:r>
        <w:rPr>
          <w:rFonts w:hint="eastAsia" w:ascii="仿宋_GB2312" w:eastAsia="仿宋_GB2312" w:cs="仿宋_GB2312"/>
          <w:sz w:val="32"/>
          <w:szCs w:val="32"/>
        </w:rPr>
        <w:t>%。组织对2019年度</w:t>
      </w:r>
      <w:r>
        <w:rPr>
          <w:rFonts w:ascii="仿宋_GB2312" w:eastAsia="仿宋_GB2312" w:cs="仿宋_GB2312"/>
          <w:sz w:val="32"/>
          <w:szCs w:val="32"/>
        </w:rPr>
        <w:t>关于下达国家电影事业发展专项资金的通知（冀财教[2019]63号）</w:t>
      </w:r>
      <w:r>
        <w:rPr>
          <w:rFonts w:hint="eastAsia" w:ascii="仿宋_GB2312" w:eastAsia="仿宋_GB2312" w:cs="仿宋_GB2312"/>
          <w:sz w:val="32"/>
          <w:szCs w:val="32"/>
        </w:rPr>
        <w:t>、</w:t>
      </w:r>
      <w:r>
        <w:rPr>
          <w:rFonts w:ascii="仿宋_GB2312" w:eastAsia="仿宋_GB2312" w:cs="仿宋_GB2312"/>
          <w:sz w:val="32"/>
          <w:szCs w:val="32"/>
        </w:rPr>
        <w:t>关于下达2019年中央补助地方公共文化服务体系建设专项资金预算（县级融媒体中心建设项目）的通知（冀财教[2019]55号）</w:t>
      </w:r>
      <w:r>
        <w:rPr>
          <w:rFonts w:hint="eastAsia" w:ascii="仿宋_GB2312" w:eastAsia="仿宋_GB2312" w:cs="仿宋_GB2312"/>
          <w:sz w:val="32"/>
          <w:szCs w:val="32"/>
        </w:rPr>
        <w:t>等</w:t>
      </w:r>
      <w:r>
        <w:rPr>
          <w:rFonts w:ascii="仿宋_GB2312" w:eastAsia="仿宋_GB2312" w:cs="仿宋_GB2312"/>
          <w:sz w:val="32"/>
          <w:szCs w:val="32"/>
        </w:rPr>
        <w:t>三</w:t>
      </w:r>
      <w:r>
        <w:rPr>
          <w:rFonts w:hint="eastAsia" w:ascii="仿宋_GB2312" w:eastAsia="仿宋_GB2312" w:cs="仿宋_GB2312"/>
          <w:sz w:val="32"/>
          <w:szCs w:val="32"/>
        </w:rPr>
        <w:t>个政府性基金预算项目支出开展绩效自评，共涉及资金</w:t>
      </w:r>
      <w:r>
        <w:rPr>
          <w:rFonts w:ascii="仿宋_GB2312" w:eastAsia="仿宋_GB2312" w:cs="仿宋_GB2312"/>
          <w:sz w:val="32"/>
          <w:szCs w:val="32"/>
        </w:rPr>
        <w:t>160</w:t>
      </w:r>
      <w:r>
        <w:rPr>
          <w:rFonts w:hint="eastAsia" w:ascii="仿宋_GB2312" w:eastAsia="仿宋_GB2312" w:cs="仿宋_GB2312"/>
          <w:sz w:val="32"/>
          <w:szCs w:val="32"/>
        </w:rPr>
        <w:t>万元，占政府性基金预算项目支出总额的</w:t>
      </w:r>
      <w:r>
        <w:rPr>
          <w:rFonts w:ascii="仿宋_GB2312" w:eastAsia="仿宋_GB2312" w:cs="仿宋_GB2312"/>
          <w:sz w:val="32"/>
          <w:szCs w:val="32"/>
        </w:rPr>
        <w:t>86</w:t>
      </w:r>
      <w:r>
        <w:rPr>
          <w:rFonts w:hint="eastAsia" w:ascii="仿宋_GB2312" w:eastAsia="仿宋_GB2312" w:cs="仿宋_GB2312"/>
          <w:sz w:val="32"/>
          <w:szCs w:val="32"/>
        </w:rPr>
        <w:t>%。部门自行组织对“</w:t>
      </w:r>
      <w:r>
        <w:rPr>
          <w:rFonts w:ascii="仿宋_GB2312" w:eastAsia="仿宋_GB2312" w:cs="仿宋_GB2312"/>
          <w:sz w:val="32"/>
          <w:szCs w:val="32"/>
        </w:rPr>
        <w:t>文化活动及文艺创作经费</w:t>
      </w:r>
      <w:r>
        <w:rPr>
          <w:rFonts w:hint="eastAsia" w:ascii="仿宋_GB2312" w:eastAsia="仿宋_GB2312" w:cs="仿宋_GB2312"/>
          <w:sz w:val="32"/>
          <w:szCs w:val="32"/>
        </w:rPr>
        <w:t>”“</w:t>
      </w:r>
      <w:r>
        <w:rPr>
          <w:rFonts w:ascii="仿宋_GB2312" w:eastAsia="仿宋_GB2312" w:cs="仿宋_GB2312"/>
          <w:sz w:val="32"/>
          <w:szCs w:val="32"/>
        </w:rPr>
        <w:t>创建文明城市及公益广告宣传经费</w:t>
      </w:r>
      <w:r>
        <w:rPr>
          <w:rFonts w:hint="eastAsia" w:ascii="仿宋_GB2312" w:eastAsia="仿宋_GB2312" w:cs="仿宋_GB2312"/>
          <w:sz w:val="32"/>
          <w:szCs w:val="32"/>
        </w:rPr>
        <w:t>”等</w:t>
      </w:r>
      <w:r>
        <w:rPr>
          <w:rFonts w:ascii="仿宋_GB2312" w:eastAsia="仿宋_GB2312" w:cs="仿宋_GB2312"/>
          <w:sz w:val="32"/>
          <w:szCs w:val="32"/>
        </w:rPr>
        <w:t>17</w:t>
      </w:r>
      <w:r>
        <w:rPr>
          <w:rFonts w:hint="eastAsia" w:ascii="仿宋_GB2312" w:eastAsia="仿宋_GB2312" w:cs="仿宋_GB2312"/>
          <w:sz w:val="32"/>
          <w:szCs w:val="32"/>
        </w:rPr>
        <w:t>个项目开展了部门评价，涉及一般公共预算支出</w:t>
      </w:r>
      <w:r>
        <w:rPr>
          <w:rFonts w:ascii="仿宋_GB2312" w:eastAsia="仿宋_GB2312" w:cs="仿宋_GB2312"/>
          <w:sz w:val="32"/>
          <w:szCs w:val="32"/>
        </w:rPr>
        <w:t>1619.61</w:t>
      </w:r>
      <w:r>
        <w:rPr>
          <w:rFonts w:hint="eastAsia" w:ascii="仿宋_GB2312" w:eastAsia="仿宋_GB2312" w:cs="仿宋_GB2312"/>
          <w:sz w:val="32"/>
          <w:szCs w:val="32"/>
        </w:rPr>
        <w:t>万元，政府性基金预算支出</w:t>
      </w:r>
      <w:r>
        <w:rPr>
          <w:rFonts w:ascii="仿宋_GB2312" w:eastAsia="仿宋_GB2312" w:cs="仿宋_GB2312"/>
          <w:sz w:val="32"/>
          <w:szCs w:val="32"/>
        </w:rPr>
        <w:t>186</w:t>
      </w:r>
      <w:r>
        <w:rPr>
          <w:rFonts w:hint="eastAsia" w:ascii="仿宋_GB2312" w:eastAsia="仿宋_GB2312" w:cs="仿宋_GB2312"/>
          <w:sz w:val="32"/>
          <w:szCs w:val="32"/>
        </w:rPr>
        <w:t>万元。</w:t>
      </w:r>
      <w:r>
        <w:rPr>
          <w:rFonts w:ascii="仿宋_GB2312" w:eastAsia="仿宋_GB2312" w:cs="仿宋_GB2312"/>
          <w:sz w:val="32"/>
          <w:szCs w:val="32"/>
        </w:rPr>
        <w:t>我单位未委托</w:t>
      </w:r>
      <w:r>
        <w:rPr>
          <w:rFonts w:hint="eastAsia" w:ascii="仿宋_GB2312" w:eastAsia="仿宋_GB2312" w:cs="仿宋_GB2312"/>
          <w:sz w:val="32"/>
          <w:szCs w:val="32"/>
        </w:rPr>
        <w:t>第三方机构(或部内评审机构)开展绩效评价。从评价情况来看，</w:t>
      </w:r>
      <w:bookmarkEnd w:id="1"/>
      <w:bookmarkEnd w:id="2"/>
      <w:bookmarkEnd w:id="3"/>
      <w:r>
        <w:rPr>
          <w:rFonts w:hint="eastAsia" w:ascii="仿宋" w:eastAsia="仿宋" w:cs="仿宋"/>
          <w:sz w:val="32"/>
          <w:szCs w:val="32"/>
          <w:highlight w:val="none"/>
        </w:rPr>
        <w:t>评价项目覆盖中央、省级、本级全方位资金，</w:t>
      </w:r>
      <w:r>
        <w:rPr>
          <w:rFonts w:ascii="仿宋" w:eastAsia="仿宋" w:cs="仿宋"/>
          <w:sz w:val="32"/>
          <w:szCs w:val="32"/>
          <w:highlight w:val="none"/>
        </w:rPr>
        <w:t>涉及</w:t>
      </w:r>
      <w:r>
        <w:rPr>
          <w:rFonts w:hint="eastAsia" w:ascii="仿宋" w:eastAsia="仿宋" w:cs="仿宋"/>
          <w:sz w:val="32"/>
          <w:szCs w:val="32"/>
          <w:highlight w:val="none"/>
        </w:rPr>
        <w:t>意识形态管理及宣传工作、创建精神文明城市工作、舆情监测分析工作、文化活动及文艺创作工作、文化产业引导工作、农村学校少年宫修缮运转工作、国家电影事业发展工作等。按照我市预算绩效管理工作的总体要求，结合我单位的实际情况，通过绩效自评结果和年初绩效目标设定对比，我们认为，2019年度我单位预算绩效目标、指标设置全面完整、科学合理，绩效目标和指标值设定匹配度较高。评价指标的设定，既有具体可考的客观指标，又有综合定性的主观指标，定量与定性指标权重安排合理、恰当，能够准确反映出项目运行的结果。通过整体全面、科学合理的预算绩效目标、指标设定，强化了相关职能部门的责任，提高了财政资金的支出效率。从评价结果看，项目资金安排符合国家政策规定，实施过程中规范有序，项目目标完成效果质量好，取得了预期的经济效益、社会效益，受益群体满意度较高。同时问题也是客观存在的，造成资金结转的主要原因是上级下达的2019年中央补助地方公共文化服务体系建设专项资金预算（县级融媒体中心建设项目）的通知（冀财教[2019]55号），因资金用于霸州市融媒体中心的设备购置，需要进行招标，招标后金额剩余24200元，导致资金没有全部支出，在今后的工作中，我单位要加强项目资金细化分配，充分结合实际，细化分解为可以分析、计算、统计、衡量的定量指标值，尽量以数字来表达，如“时间、日期、金额、数量、百分比等”。有助于加强目标管理，对项目的实施进行深入管控，从而推动预算绩效工作向科学方向转变。</w:t>
      </w:r>
    </w:p>
    <w:p>
      <w:pPr>
        <w:adjustRightInd w:val="0"/>
        <w:snapToGrid w:val="0"/>
        <w:spacing w:line="580" w:lineRule="exact"/>
        <w:ind w:firstLine="643" w:firstLineChars="200"/>
        <w:rPr>
          <w:rFonts w:hint="eastAsia" w:ascii="仿宋" w:eastAsia="仿宋" w:cs="仿宋"/>
          <w:b/>
          <w:bCs/>
          <w:sz w:val="32"/>
          <w:szCs w:val="32"/>
          <w:highlight w:val="none"/>
        </w:rPr>
      </w:pPr>
      <w:r>
        <w:rPr>
          <w:rFonts w:hint="eastAsia" w:ascii="仿宋" w:eastAsia="仿宋" w:cs="仿宋"/>
          <w:b/>
          <w:bCs/>
          <w:sz w:val="32"/>
          <w:szCs w:val="32"/>
          <w:highlight w:val="none"/>
        </w:rPr>
        <w:t>2. 部门决算中项目绩效自评结果。</w:t>
      </w:r>
    </w:p>
    <w:p>
      <w:pPr>
        <w:adjustRightInd w:val="0"/>
        <w:snapToGrid w:val="0"/>
        <w:spacing w:line="58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本部门在今年部门决算公开中反映</w:t>
      </w:r>
      <w:r>
        <w:rPr>
          <w:rFonts w:ascii="仿宋_GB2312" w:eastAsia="仿宋_GB2312" w:cs="仿宋_GB2312"/>
          <w:sz w:val="32"/>
          <w:szCs w:val="32"/>
        </w:rPr>
        <w:t>创建文明城市及公益广告宣传经费</w:t>
      </w:r>
      <w:r>
        <w:rPr>
          <w:rFonts w:hint="eastAsia" w:ascii="仿宋_GB2312" w:eastAsia="仿宋_GB2312" w:cs="仿宋_GB2312"/>
          <w:sz w:val="32"/>
          <w:szCs w:val="32"/>
        </w:rPr>
        <w:t>项目及</w:t>
      </w:r>
      <w:r>
        <w:rPr>
          <w:rFonts w:ascii="仿宋_GB2312" w:eastAsia="仿宋_GB2312" w:cs="仿宋_GB2312"/>
          <w:sz w:val="32"/>
          <w:szCs w:val="32"/>
        </w:rPr>
        <w:t>文化产业引导资金</w:t>
      </w:r>
      <w:r>
        <w:rPr>
          <w:rFonts w:hint="eastAsia" w:ascii="仿宋_GB2312" w:eastAsia="仿宋_GB2312" w:cs="仿宋_GB2312"/>
          <w:sz w:val="32"/>
          <w:szCs w:val="32"/>
        </w:rPr>
        <w:t>项目等</w:t>
      </w:r>
      <w:r>
        <w:rPr>
          <w:rFonts w:ascii="仿宋_GB2312" w:eastAsia="仿宋_GB2312" w:cs="仿宋_GB2312"/>
          <w:sz w:val="32"/>
          <w:szCs w:val="32"/>
        </w:rPr>
        <w:t>17</w:t>
      </w:r>
      <w:r>
        <w:rPr>
          <w:rFonts w:hint="eastAsia" w:ascii="仿宋_GB2312" w:eastAsia="仿宋_GB2312" w:cs="仿宋_GB2312"/>
          <w:sz w:val="32"/>
          <w:szCs w:val="32"/>
        </w:rPr>
        <w:t>个项目绩效自评结果。</w:t>
      </w:r>
    </w:p>
    <w:p>
      <w:pPr>
        <w:numPr>
          <w:ilvl w:val="0"/>
          <w:numId w:val="2"/>
        </w:numPr>
        <w:adjustRightInd w:val="0"/>
        <w:snapToGrid w:val="0"/>
        <w:spacing w:line="580" w:lineRule="exact"/>
        <w:ind w:left="0" w:firstLine="640" w:firstLineChars="200"/>
        <w:rPr>
          <w:rFonts w:ascii="仿宋_GB2312" w:eastAsia="仿宋_GB2312" w:cs="仿宋_GB2312"/>
          <w:sz w:val="32"/>
          <w:szCs w:val="32"/>
        </w:rPr>
      </w:pPr>
      <w:r>
        <w:rPr>
          <w:rFonts w:ascii="仿宋_GB2312" w:eastAsia="仿宋_GB2312" w:cs="仿宋_GB2312"/>
          <w:sz w:val="32"/>
          <w:szCs w:val="32"/>
        </w:rPr>
        <w:t>创建文明城市及公益广告宣传经费</w:t>
      </w:r>
      <w:r>
        <w:rPr>
          <w:rFonts w:hint="eastAsia" w:ascii="仿宋_GB2312" w:eastAsia="仿宋_GB2312" w:cs="仿宋_GB2312"/>
          <w:sz w:val="32"/>
          <w:szCs w:val="32"/>
        </w:rPr>
        <w:t>项目绩效自评综述：根据年初设定的绩效目标，</w:t>
      </w:r>
      <w:r>
        <w:rPr>
          <w:rFonts w:ascii="仿宋_GB2312" w:eastAsia="仿宋_GB2312" w:cs="仿宋_GB2312"/>
          <w:sz w:val="32"/>
          <w:szCs w:val="32"/>
        </w:rPr>
        <w:t>该</w:t>
      </w:r>
      <w:r>
        <w:rPr>
          <w:rFonts w:hint="eastAsia" w:ascii="仿宋_GB2312" w:eastAsia="仿宋_GB2312" w:cs="仿宋_GB2312"/>
          <w:sz w:val="32"/>
          <w:szCs w:val="32"/>
        </w:rPr>
        <w:t>项目绩效自评得分为</w:t>
      </w:r>
      <w:r>
        <w:rPr>
          <w:rFonts w:ascii="仿宋_GB2312" w:eastAsia="仿宋_GB2312" w:cs="仿宋_GB2312"/>
          <w:sz w:val="32"/>
          <w:szCs w:val="32"/>
        </w:rPr>
        <w:t>100</w:t>
      </w:r>
      <w:r>
        <w:rPr>
          <w:rFonts w:hint="eastAsia" w:ascii="仿宋_GB2312" w:eastAsia="仿宋_GB2312" w:cs="仿宋_GB2312"/>
          <w:sz w:val="32"/>
          <w:szCs w:val="32"/>
        </w:rPr>
        <w:t>分（绩效自评表附后）。全年预算数为</w:t>
      </w:r>
      <w:r>
        <w:rPr>
          <w:rFonts w:ascii="仿宋_GB2312" w:eastAsia="仿宋_GB2312" w:cs="仿宋_GB2312"/>
          <w:sz w:val="32"/>
          <w:szCs w:val="32"/>
        </w:rPr>
        <w:t>240</w:t>
      </w:r>
      <w:r>
        <w:rPr>
          <w:rFonts w:hint="eastAsia" w:ascii="仿宋_GB2312" w:eastAsia="仿宋_GB2312" w:cs="仿宋_GB2312"/>
          <w:sz w:val="32"/>
          <w:szCs w:val="32"/>
        </w:rPr>
        <w:t>万元，执行数为</w:t>
      </w:r>
      <w:r>
        <w:rPr>
          <w:rFonts w:ascii="仿宋_GB2312" w:eastAsia="仿宋_GB2312" w:cs="仿宋_GB2312"/>
          <w:sz w:val="32"/>
          <w:szCs w:val="32"/>
        </w:rPr>
        <w:t>240</w:t>
      </w:r>
      <w:r>
        <w:rPr>
          <w:rFonts w:hint="eastAsia" w:ascii="仿宋_GB2312" w:eastAsia="仿宋_GB2312" w:cs="仿宋_GB2312"/>
          <w:sz w:val="32"/>
          <w:szCs w:val="32"/>
        </w:rPr>
        <w:t>万元，完成预算的</w:t>
      </w:r>
      <w:r>
        <w:rPr>
          <w:rFonts w:ascii="仿宋_GB2312" w:eastAsia="仿宋_GB2312" w:cs="仿宋_GB2312"/>
          <w:sz w:val="32"/>
          <w:szCs w:val="32"/>
        </w:rPr>
        <w:t>100</w:t>
      </w:r>
      <w:r>
        <w:rPr>
          <w:rFonts w:hint="eastAsia" w:ascii="仿宋_GB2312" w:eastAsia="仿宋_GB2312" w:cs="仿宋_GB2312"/>
          <w:sz w:val="32"/>
          <w:szCs w:val="32"/>
        </w:rPr>
        <w:t>%。项目绩效目标完成情况：一是</w:t>
      </w:r>
      <w:r>
        <w:rPr>
          <w:rFonts w:ascii="仿宋_GB2312" w:eastAsia="仿宋_GB2312" w:cs="仿宋_GB2312"/>
          <w:sz w:val="32"/>
          <w:szCs w:val="32"/>
        </w:rPr>
        <w:t>组织图文展览5次，印制宣传品30000份；二是精神文明城市创建取得优异成绩。无发现问题及整改措施</w:t>
      </w:r>
      <w:r>
        <w:rPr>
          <w:rFonts w:hint="eastAsia" w:ascii="仿宋_GB2312" w:eastAsia="仿宋_GB2312" w:cs="仿宋_GB2312"/>
          <w:sz w:val="32"/>
          <w:szCs w:val="32"/>
        </w:rPr>
        <w:t>。</w:t>
      </w:r>
    </w:p>
    <w:p>
      <w:pPr>
        <w:adjustRightInd w:val="0"/>
        <w:snapToGrid w:val="0"/>
        <w:spacing w:after="0" w:line="240" w:lineRule="auto"/>
        <w:ind w:firstLine="0"/>
        <w:rPr>
          <w:rFonts w:hint="eastAsia" w:ascii="仿宋_GB2312" w:eastAsia="仿宋_GB2312" w:cs="仿宋_GB2312"/>
          <w:sz w:val="32"/>
          <w:szCs w:val="32"/>
          <w:lang w:eastAsia="zh-CN"/>
        </w:rPr>
      </w:pPr>
      <w:r>
        <w:rPr>
          <w:rFonts w:hint="eastAsia" w:ascii="仿宋_GB2312" w:eastAsia="仿宋_GB2312" w:cs="仿宋_GB2312"/>
          <w:sz w:val="32"/>
          <w:szCs w:val="32"/>
          <w:lang w:eastAsia="zh-CN"/>
        </w:rPr>
        <w:object>
          <v:shape id="_x0000_i1025" o:spt="75" type="#_x0000_t75" style="height:518.5pt;width:2188.35pt;" o:ole="t" filled="f" o:preferrelative="t" stroked="f" coordsize="21600,21600">
            <v:path/>
            <v:fill on="f" focussize="0,0"/>
            <v:stroke on="f"/>
            <v:imagedata r:id="rId5" o:title=""/>
            <o:lock v:ext="edit" aspectratio="t"/>
            <w10:wrap type="none"/>
            <w10:anchorlock/>
          </v:shape>
          <o:OLEObject Type="Embed" ProgID="Excel.Sheet.8" ShapeID="_x0000_i1025" DrawAspect="Content" ObjectID="_1468075725" r:id="rId4">
            <o:LockedField>false</o:LockedField>
          </o:OLEObject>
        </w:object>
      </w:r>
    </w:p>
    <w:p>
      <w:pPr>
        <w:numPr>
          <w:ilvl w:val="0"/>
          <w:numId w:val="2"/>
        </w:numPr>
        <w:adjustRightInd w:val="0"/>
        <w:snapToGrid w:val="0"/>
        <w:spacing w:after="0" w:line="240" w:lineRule="auto"/>
        <w:ind w:left="0" w:leftChars="0" w:firstLine="640" w:firstLineChars="200"/>
        <w:rPr>
          <w:rFonts w:hint="eastAsia" w:ascii="仿宋_GB2312" w:eastAsia="仿宋_GB2312" w:cs="仿宋_GB2312"/>
          <w:sz w:val="32"/>
          <w:szCs w:val="32"/>
        </w:rPr>
      </w:pPr>
      <w:r>
        <w:rPr>
          <w:rFonts w:ascii="仿宋" w:eastAsia="仿宋" w:cs="仿宋"/>
          <w:sz w:val="32"/>
          <w:szCs w:val="32"/>
        </w:rPr>
        <w:t>霸州融媒体中心建设项目</w:t>
      </w:r>
      <w:r>
        <w:rPr>
          <w:rFonts w:ascii="仿宋_GB2312" w:eastAsia="仿宋_GB2312" w:cs="仿宋_GB2312"/>
          <w:sz w:val="32"/>
          <w:szCs w:val="32"/>
        </w:rPr>
        <w:t>经费</w:t>
      </w:r>
      <w:r>
        <w:rPr>
          <w:rFonts w:hint="eastAsia" w:ascii="仿宋_GB2312" w:eastAsia="仿宋_GB2312" w:cs="仿宋_GB2312"/>
          <w:sz w:val="32"/>
          <w:szCs w:val="32"/>
        </w:rPr>
        <w:t>项目绩效自评综述：根据年初设定的绩效目标，</w:t>
      </w:r>
      <w:r>
        <w:rPr>
          <w:rFonts w:ascii="仿宋_GB2312" w:eastAsia="仿宋_GB2312" w:cs="仿宋_GB2312"/>
          <w:sz w:val="32"/>
          <w:szCs w:val="32"/>
        </w:rPr>
        <w:t>该</w:t>
      </w:r>
      <w:r>
        <w:rPr>
          <w:rFonts w:hint="eastAsia" w:ascii="仿宋_GB2312" w:eastAsia="仿宋_GB2312" w:cs="仿宋_GB2312"/>
          <w:sz w:val="32"/>
          <w:szCs w:val="32"/>
        </w:rPr>
        <w:t>项目绩效自评得分为</w:t>
      </w:r>
      <w:r>
        <w:rPr>
          <w:rFonts w:ascii="仿宋_GB2312" w:eastAsia="仿宋_GB2312" w:cs="仿宋_GB2312"/>
          <w:sz w:val="32"/>
          <w:szCs w:val="32"/>
        </w:rPr>
        <w:t>97</w:t>
      </w:r>
      <w:r>
        <w:rPr>
          <w:rFonts w:hint="eastAsia" w:ascii="仿宋_GB2312" w:eastAsia="仿宋_GB2312" w:cs="仿宋_GB2312"/>
          <w:sz w:val="32"/>
          <w:szCs w:val="32"/>
        </w:rPr>
        <w:t>分（绩效自评表附后）。全年预算数为</w:t>
      </w:r>
      <w:r>
        <w:rPr>
          <w:rFonts w:ascii="仿宋_GB2312" w:eastAsia="仿宋_GB2312" w:cs="仿宋_GB2312"/>
          <w:sz w:val="32"/>
          <w:szCs w:val="32"/>
        </w:rPr>
        <w:t>500</w:t>
      </w:r>
      <w:r>
        <w:rPr>
          <w:rFonts w:hint="eastAsia" w:ascii="仿宋_GB2312" w:eastAsia="仿宋_GB2312" w:cs="仿宋_GB2312"/>
          <w:sz w:val="32"/>
          <w:szCs w:val="32"/>
        </w:rPr>
        <w:t>万元，执行数为</w:t>
      </w:r>
      <w:r>
        <w:rPr>
          <w:rFonts w:ascii="仿宋_GB2312" w:eastAsia="仿宋_GB2312" w:cs="仿宋_GB2312"/>
          <w:sz w:val="32"/>
          <w:szCs w:val="32"/>
        </w:rPr>
        <w:t>379</w:t>
      </w:r>
      <w:r>
        <w:rPr>
          <w:rFonts w:hint="eastAsia" w:ascii="仿宋_GB2312" w:eastAsia="仿宋_GB2312" w:cs="仿宋_GB2312"/>
          <w:sz w:val="32"/>
          <w:szCs w:val="32"/>
        </w:rPr>
        <w:t>万元，完成预算的</w:t>
      </w:r>
      <w:r>
        <w:rPr>
          <w:rFonts w:ascii="仿宋_GB2312" w:eastAsia="仿宋_GB2312" w:cs="仿宋_GB2312"/>
          <w:sz w:val="32"/>
          <w:szCs w:val="32"/>
        </w:rPr>
        <w:t>76</w:t>
      </w:r>
      <w:r>
        <w:rPr>
          <w:rFonts w:hint="eastAsia" w:ascii="仿宋_GB2312" w:eastAsia="仿宋_GB2312" w:cs="仿宋_GB2312"/>
          <w:sz w:val="32"/>
          <w:szCs w:val="32"/>
        </w:rPr>
        <w:t>%。项目绩效目标完成情况：一是</w:t>
      </w:r>
      <w:r>
        <w:rPr>
          <w:rFonts w:ascii="仿宋_GB2312" w:eastAsia="仿宋_GB2312" w:cs="仿宋_GB2312"/>
          <w:sz w:val="32"/>
          <w:szCs w:val="32"/>
        </w:rPr>
        <w:t>购置设备274件；二是霸州融媒体中心改造建设完成。发现问题融媒体中西工程及设备购置均通过招采完成，资金有所剩余，质保押金70.69已于2020年度支付完成。整改措施：严格按照要求测算采购成本，使资金利用合规合理化</w:t>
      </w:r>
      <w:r>
        <w:rPr>
          <w:rFonts w:hint="eastAsia" w:ascii="仿宋_GB2312" w:eastAsia="仿宋_GB2312" w:cs="仿宋_GB2312"/>
          <w:sz w:val="32"/>
          <w:szCs w:val="32"/>
        </w:rPr>
        <w:t>。</w:t>
      </w:r>
    </w:p>
    <w:p>
      <w:pPr>
        <w:numPr>
          <w:numId w:val="0"/>
        </w:numPr>
        <w:tabs>
          <w:tab w:val="left" w:pos="0"/>
        </w:tabs>
        <w:adjustRightInd w:val="0"/>
        <w:snapToGrid w:val="0"/>
        <w:spacing w:after="0" w:line="240" w:lineRule="auto"/>
        <w:ind w:leftChars="200"/>
        <w:rPr>
          <w:rFonts w:hint="eastAsia" w:ascii="仿宋_GB2312" w:eastAsia="仿宋_GB2312" w:cs="仿宋_GB2312"/>
          <w:sz w:val="32"/>
          <w:szCs w:val="32"/>
          <w:lang w:eastAsia="zh-CN"/>
        </w:rPr>
      </w:pPr>
    </w:p>
    <w:p>
      <w:pPr>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after="160" w:line="240" w:lineRule="auto"/>
        <w:jc w:val="both"/>
        <w:textAlignment w:val="auto"/>
      </w:pPr>
      <w:r>
        <w:drawing>
          <wp:inline distT="0" distB="0" distL="114300" distR="114300">
            <wp:extent cx="5612130" cy="5681345"/>
            <wp:effectExtent l="0" t="0" r="7620" b="14605"/>
            <wp:docPr id="8" name="图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55"/>
                    <pic:cNvPicPr>
                      <a:picLocks noChangeAspect="1"/>
                    </pic:cNvPicPr>
                  </pic:nvPicPr>
                  <pic:blipFill>
                    <a:blip r:embed="rId6"/>
                    <a:stretch>
                      <a:fillRect/>
                    </a:stretch>
                  </pic:blipFill>
                  <pic:spPr>
                    <a:xfrm>
                      <a:off x="0" y="0"/>
                      <a:ext cx="5612130" cy="5681345"/>
                    </a:xfrm>
                    <a:prstGeom prst="rect">
                      <a:avLst/>
                    </a:prstGeom>
                    <a:noFill/>
                    <a:ln>
                      <a:noFill/>
                    </a:ln>
                  </pic:spPr>
                </pic:pic>
              </a:graphicData>
            </a:graphic>
          </wp:inline>
        </w:drawing>
      </w:r>
    </w:p>
    <w:p>
      <w:pPr>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after="160" w:line="240" w:lineRule="auto"/>
        <w:jc w:val="both"/>
        <w:textAlignment w:val="auto"/>
      </w:pPr>
    </w:p>
    <w:p>
      <w:pPr>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after="160" w:line="240" w:lineRule="auto"/>
        <w:jc w:val="both"/>
        <w:textAlignment w:val="auto"/>
        <w:rPr>
          <w:highlight w:val="none"/>
        </w:rPr>
      </w:pPr>
      <w:bookmarkStart w:id="4" w:name="_GoBack"/>
    </w:p>
    <w:p>
      <w:pPr>
        <w:numPr>
          <w:ilvl w:val="0"/>
          <w:numId w:val="0"/>
        </w:numPr>
        <w:adjustRightInd w:val="0"/>
        <w:snapToGrid w:val="0"/>
        <w:spacing w:line="580" w:lineRule="exact"/>
        <w:ind w:firstLine="321" w:firstLineChars="100"/>
        <w:rPr>
          <w:rFonts w:hint="eastAsia" w:ascii="仿宋" w:eastAsia="仿宋" w:cs="仿宋"/>
          <w:b/>
          <w:bCs/>
          <w:sz w:val="32"/>
          <w:szCs w:val="32"/>
          <w:highlight w:val="none"/>
          <w:lang w:eastAsia="zh-CN"/>
        </w:rPr>
      </w:pPr>
      <w:r>
        <w:rPr>
          <w:rFonts w:hint="eastAsia" w:ascii="仿宋" w:eastAsia="仿宋" w:cs="仿宋"/>
          <w:b/>
          <w:bCs/>
          <w:sz w:val="32"/>
          <w:szCs w:val="32"/>
          <w:highlight w:val="none"/>
          <w:lang w:val="en-US" w:eastAsia="zh-CN"/>
        </w:rPr>
        <w:t>3.</w:t>
      </w:r>
      <w:r>
        <w:rPr>
          <w:rFonts w:hint="eastAsia" w:ascii="仿宋" w:eastAsia="仿宋" w:cs="仿宋"/>
          <w:b/>
          <w:bCs/>
          <w:sz w:val="32"/>
          <w:szCs w:val="32"/>
          <w:highlight w:val="none"/>
        </w:rPr>
        <w:t>财政评价项目绩效评价结果</w:t>
      </w:r>
      <w:r>
        <w:rPr>
          <w:rFonts w:hint="eastAsia" w:ascii="仿宋" w:eastAsia="仿宋" w:cs="仿宋"/>
          <w:b/>
          <w:bCs/>
          <w:sz w:val="32"/>
          <w:szCs w:val="32"/>
          <w:highlight w:val="none"/>
          <w:lang w:eastAsia="zh-CN"/>
        </w:rPr>
        <w:t>。</w:t>
      </w:r>
    </w:p>
    <w:bookmarkEnd w:id="4"/>
    <w:p>
      <w:pPr>
        <w:numPr>
          <w:ilvl w:val="0"/>
          <w:numId w:val="0"/>
        </w:numPr>
        <w:adjustRightInd w:val="0"/>
        <w:snapToGrid w:val="0"/>
        <w:spacing w:line="580" w:lineRule="exact"/>
        <w:ind w:firstLine="320" w:firstLineChars="100"/>
        <w:rPr>
          <w:rFonts w:hint="default" w:ascii="仿宋" w:hAnsi="Times New Roman" w:eastAsia="仿宋" w:cs="仿宋"/>
          <w:b w:val="0"/>
          <w:bCs/>
          <w:kern w:val="2"/>
          <w:sz w:val="32"/>
          <w:szCs w:val="32"/>
          <w:lang w:val="en-US" w:eastAsia="zh-CN" w:bidi="ar-SA"/>
        </w:rPr>
      </w:pPr>
      <w:r>
        <w:rPr>
          <w:rFonts w:hint="eastAsia" w:ascii="仿宋" w:hAnsi="Times New Roman" w:eastAsia="仿宋" w:cs="仿宋"/>
          <w:b w:val="0"/>
          <w:bCs/>
          <w:kern w:val="2"/>
          <w:sz w:val="32"/>
          <w:szCs w:val="32"/>
          <w:lang w:val="en-US" w:eastAsia="zh-CN" w:bidi="ar-SA"/>
        </w:rPr>
        <w:t>2019年度本单位无财政评价项目</w:t>
      </w:r>
      <w:r>
        <w:rPr>
          <w:rFonts w:hint="eastAsia" w:ascii="仿宋" w:eastAsia="仿宋" w:cs="仿宋"/>
          <w:b w:val="0"/>
          <w:bCs/>
          <w:kern w:val="2"/>
          <w:sz w:val="32"/>
          <w:szCs w:val="32"/>
          <w:lang w:val="en-US" w:eastAsia="zh-CN" w:bidi="ar-SA"/>
        </w:rPr>
        <w:t>。</w:t>
      </w:r>
    </w:p>
    <w:bookmarkEnd w:id="0"/>
    <w:p>
      <w:pPr>
        <w:pStyle w:val="3"/>
        <w:spacing w:before="0" w:after="0" w:line="580" w:lineRule="exact"/>
        <w:rPr>
          <w:rFonts w:hint="eastAsia" w:ascii="仿宋" w:eastAsia="仿宋" w:cs="仿宋"/>
          <w:b w:val="0"/>
          <w:bCs w:val="0"/>
        </w:rPr>
      </w:pPr>
      <w:r>
        <w:rPr>
          <w:rFonts w:hint="eastAsia" w:ascii="仿宋" w:eastAsia="仿宋" w:cs="仿宋"/>
          <w:b w:val="0"/>
          <w:bCs w:val="0"/>
        </w:rPr>
        <w:t>七、其他重要事项的说明</w:t>
      </w:r>
    </w:p>
    <w:p>
      <w:pPr>
        <w:pStyle w:val="4"/>
        <w:spacing w:before="0" w:after="0" w:line="580" w:lineRule="exact"/>
        <w:ind w:firstLine="643" w:firstLineChars="200"/>
        <w:rPr>
          <w:rFonts w:hint="eastAsia" w:ascii="仿宋" w:eastAsia="仿宋" w:cs="仿宋"/>
        </w:rPr>
      </w:pPr>
      <w:r>
        <w:rPr>
          <w:rFonts w:hint="eastAsia" w:ascii="仿宋" w:eastAsia="仿宋" w:cs="仿宋"/>
        </w:rPr>
        <w:t>（一）机关运行经费情况</w:t>
      </w:r>
    </w:p>
    <w:p>
      <w:pPr>
        <w:pStyle w:val="4"/>
        <w:spacing w:before="0" w:after="0" w:line="580" w:lineRule="exact"/>
        <w:ind w:firstLine="640" w:firstLineChars="200"/>
        <w:rPr>
          <w:rFonts w:hint="eastAsia" w:ascii="仿宋" w:eastAsia="仿宋" w:cs="仿宋"/>
          <w:b w:val="0"/>
          <w:color w:val="000000" w:themeColor="text1"/>
          <w:highlight w:val="none"/>
          <w:lang w:val="en-US" w:eastAsia="zh-CN"/>
          <w14:textFill>
            <w14:solidFill>
              <w14:schemeClr w14:val="tx1"/>
            </w14:solidFill>
          </w14:textFill>
        </w:rPr>
      </w:pPr>
      <w:r>
        <w:rPr>
          <w:rFonts w:hint="eastAsia" w:ascii="仿宋" w:eastAsia="仿宋" w:cs="仿宋"/>
          <w:b w:val="0"/>
        </w:rPr>
        <w:t>本部门2019年度机关运行经费支出282.9万元，比2018年度增加188.41万元，增长199.40%</w:t>
      </w:r>
      <w:r>
        <w:rPr>
          <w:rFonts w:hint="eastAsia" w:ascii="仿宋" w:eastAsia="仿宋" w:cs="仿宋"/>
          <w:b w:val="0"/>
          <w:lang w:eastAsia="zh-CN"/>
        </w:rPr>
        <w:t>，</w:t>
      </w:r>
      <w:r>
        <w:rPr>
          <w:rFonts w:hint="eastAsia" w:ascii="仿宋" w:eastAsia="仿宋" w:cs="仿宋"/>
          <w:b w:val="0"/>
          <w:highlight w:val="none"/>
        </w:rPr>
        <w:t>主要原因是要是机关业务量增大，导致办公用品，耗材等费用增加</w:t>
      </w:r>
      <w:r>
        <w:rPr>
          <w:rFonts w:hint="eastAsia" w:ascii="仿宋" w:eastAsia="仿宋" w:cs="仿宋"/>
          <w:b w:val="0"/>
          <w:highlight w:val="none"/>
          <w:lang w:eastAsia="zh-CN"/>
        </w:rPr>
        <w:t>；</w:t>
      </w:r>
      <w:r>
        <w:rPr>
          <w:rFonts w:hint="eastAsia" w:ascii="仿宋" w:eastAsia="仿宋" w:cs="仿宋"/>
          <w:b w:val="0"/>
          <w:color w:val="000000" w:themeColor="text1"/>
          <w:highlight w:val="none"/>
          <w:lang w:val="en-US" w:eastAsia="zh-CN"/>
          <w14:textFill>
            <w14:solidFill>
              <w14:schemeClr w14:val="tx1"/>
            </w14:solidFill>
          </w14:textFill>
        </w:rPr>
        <w:t>比2019年预算减少0.95万元，主要原因是</w:t>
      </w:r>
      <w:r>
        <w:rPr>
          <w:rFonts w:ascii="仿宋" w:eastAsia="仿宋" w:cs="仿宋"/>
          <w:b w:val="0"/>
          <w:color w:val="000000" w:themeColor="text1"/>
          <w:highlight w:val="none"/>
          <w14:textFill>
            <w14:solidFill>
              <w14:schemeClr w14:val="tx1"/>
            </w14:solidFill>
          </w14:textFill>
        </w:rPr>
        <w:t>主要原因是本部门厉行节约，减少了资金支出</w:t>
      </w:r>
      <w:r>
        <w:rPr>
          <w:rFonts w:hint="eastAsia" w:ascii="仿宋" w:eastAsia="仿宋" w:cs="仿宋"/>
          <w:b w:val="0"/>
          <w:color w:val="000000" w:themeColor="text1"/>
          <w:highlight w:val="none"/>
          <w:lang w:eastAsia="zh-CN"/>
          <w14:textFill>
            <w14:solidFill>
              <w14:schemeClr w14:val="tx1"/>
            </w14:solidFill>
          </w14:textFill>
        </w:rPr>
        <w:t>。</w:t>
      </w:r>
    </w:p>
    <w:p>
      <w:pPr>
        <w:pStyle w:val="4"/>
        <w:spacing w:before="0" w:after="0" w:line="580" w:lineRule="exact"/>
        <w:ind w:firstLine="643" w:firstLineChars="200"/>
        <w:rPr>
          <w:rFonts w:hint="eastAsia" w:ascii="仿宋" w:eastAsia="仿宋" w:cs="仿宋"/>
        </w:rPr>
      </w:pPr>
      <w:r>
        <w:rPr>
          <w:rFonts w:hint="eastAsia" w:ascii="仿宋" w:eastAsia="仿宋" w:cs="仿宋"/>
        </w:rPr>
        <w:t>（二）政府采购情况</w:t>
      </w:r>
    </w:p>
    <w:p>
      <w:pPr>
        <w:widowControl/>
        <w:spacing w:after="0" w:line="580" w:lineRule="exact"/>
        <w:ind w:firstLine="640" w:firstLineChars="200"/>
        <w:jc w:val="left"/>
        <w:rPr>
          <w:rFonts w:hint="eastAsia" w:ascii="仿宋" w:eastAsia="仿宋" w:cs="仿宋"/>
          <w:sz w:val="32"/>
          <w:szCs w:val="32"/>
        </w:rPr>
      </w:pPr>
      <w:r>
        <w:rPr>
          <w:rFonts w:hint="eastAsia" w:ascii="仿宋" w:eastAsia="仿宋" w:cs="仿宋"/>
          <w:sz w:val="32"/>
          <w:szCs w:val="32"/>
        </w:rPr>
        <w:t>本部门2019年度政府采购支出总额107.14万元，从采购类型来看，</w:t>
      </w:r>
      <w:r>
        <w:rPr>
          <w:rFonts w:hint="eastAsia" w:ascii="仿宋" w:eastAsia="仿宋" w:cs="仿宋"/>
          <w:color w:val="000000"/>
          <w:kern w:val="0"/>
          <w:sz w:val="32"/>
          <w:szCs w:val="32"/>
        </w:rPr>
        <w:t>政府采购货物支出0万元、政府采购工程支出0万元、政府采购服务支出107.14万元。授予中小企业合同金107.14万元，占政府采购支出总额的100%，其中授予小微企业合同金额107.14万元，占政府采购支出总额的100%。</w:t>
      </w:r>
    </w:p>
    <w:p>
      <w:pPr>
        <w:pStyle w:val="4"/>
        <w:spacing w:before="0" w:after="0" w:line="580" w:lineRule="exact"/>
        <w:ind w:firstLine="643" w:firstLineChars="200"/>
        <w:rPr>
          <w:rFonts w:hint="eastAsia" w:ascii="仿宋" w:eastAsia="仿宋" w:cs="仿宋"/>
        </w:rPr>
      </w:pPr>
      <w:r>
        <w:rPr>
          <w:rFonts w:hint="eastAsia" w:ascii="仿宋" w:eastAsia="仿宋" w:cs="仿宋"/>
        </w:rPr>
        <w:t>（三）国有资产占用情况</w:t>
      </w:r>
    </w:p>
    <w:p>
      <w:pPr>
        <w:adjustRightInd w:val="0"/>
        <w:snapToGrid w:val="0"/>
        <w:spacing w:line="580" w:lineRule="exact"/>
        <w:ind w:firstLine="640" w:firstLineChars="200"/>
        <w:rPr>
          <w:rFonts w:hint="eastAsia" w:ascii="仿宋" w:eastAsia="仿宋" w:cs="仿宋"/>
          <w:sz w:val="32"/>
          <w:szCs w:val="32"/>
        </w:rPr>
      </w:pPr>
      <w:r>
        <w:rPr>
          <w:rFonts w:hint="eastAsia" w:ascii="仿宋" w:eastAsia="仿宋" w:cs="仿宋"/>
          <w:sz w:val="32"/>
          <w:szCs w:val="32"/>
        </w:rPr>
        <w:t>截至2019年12月31日，本部门共有车辆3辆，比上年决算无增减变化。其中，副部（省）级及以上领导用车0辆，主要领导干部用车0辆，机要通信用车0辆，应急保障用车0辆，执法执勤用车0辆，特种专业技术用车0辆，离退休干部用车0辆，其他用车3辆，其他用车主要是机要通讯用车；</w:t>
      </w:r>
    </w:p>
    <w:p>
      <w:pPr>
        <w:adjustRightInd w:val="0"/>
        <w:snapToGrid w:val="0"/>
        <w:spacing w:line="580" w:lineRule="exact"/>
        <w:ind w:firstLine="640" w:firstLineChars="200"/>
        <w:rPr>
          <w:rFonts w:hint="eastAsia" w:ascii="仿宋" w:eastAsia="仿宋" w:cs="仿宋"/>
          <w:b/>
          <w:bCs/>
          <w:sz w:val="32"/>
          <w:szCs w:val="32"/>
        </w:rPr>
      </w:pPr>
      <w:r>
        <w:rPr>
          <w:rFonts w:hint="eastAsia" w:ascii="仿宋" w:eastAsia="仿宋" w:cs="仿宋"/>
          <w:sz w:val="32"/>
          <w:szCs w:val="32"/>
        </w:rPr>
        <w:t>单位价值50万元以上通用设备0台（套），比上年减少1套，主要是2019</w:t>
      </w:r>
      <w:r>
        <w:rPr>
          <w:rFonts w:hint="eastAsia" w:ascii="仿宋" w:eastAsia="仿宋" w:cs="仿宋"/>
          <w:sz w:val="32"/>
          <w:szCs w:val="32"/>
          <w:highlight w:val="none"/>
        </w:rPr>
        <w:t>年固定资产做了报废核销</w:t>
      </w:r>
      <w:r>
        <w:rPr>
          <w:rFonts w:hint="eastAsia" w:ascii="仿宋" w:eastAsia="仿宋" w:cs="仿宋"/>
          <w:sz w:val="32"/>
          <w:szCs w:val="32"/>
        </w:rPr>
        <w:t>，单位价值100万元以上专用设备0台（套）比上年决算无增减变化，主要是主要是未购置、报废100万元以上的固定资产。</w:t>
      </w:r>
    </w:p>
    <w:p>
      <w:pPr>
        <w:pStyle w:val="4"/>
        <w:spacing w:before="0" w:after="0" w:line="580" w:lineRule="exact"/>
        <w:ind w:firstLine="643" w:firstLineChars="200"/>
        <w:rPr>
          <w:rFonts w:hint="eastAsia" w:ascii="仿宋" w:eastAsia="仿宋" w:cs="仿宋"/>
        </w:rPr>
      </w:pPr>
      <w:r>
        <w:rPr>
          <w:rFonts w:hint="eastAsia" w:ascii="仿宋" w:eastAsia="仿宋" w:cs="仿宋"/>
        </w:rPr>
        <w:t>（四）其他需要说明的情况</w:t>
      </w:r>
    </w:p>
    <w:p>
      <w:pPr>
        <w:adjustRightInd w:val="0"/>
        <w:snapToGrid w:val="0"/>
        <w:spacing w:after="0" w:line="580" w:lineRule="exact"/>
        <w:ind w:firstLine="640" w:firstLineChars="200"/>
        <w:rPr>
          <w:rFonts w:hint="eastAsia" w:ascii="仿宋" w:eastAsia="仿宋" w:cs="仿宋"/>
          <w:sz w:val="32"/>
          <w:szCs w:val="32"/>
        </w:rPr>
      </w:pPr>
      <w:r>
        <w:rPr>
          <w:rFonts w:hint="eastAsia" w:ascii="仿宋" w:eastAsia="仿宋" w:cs="仿宋"/>
          <w:sz w:val="32"/>
          <w:szCs w:val="32"/>
        </w:rPr>
        <w:t>1.本部门2019年度国有资本经营预算财政拨款无收支及结转结余情况，故国有资本经营预算财政拨款支出决算表以空表列示。</w:t>
      </w:r>
    </w:p>
    <w:p>
      <w:pPr>
        <w:adjustRightInd w:val="0"/>
        <w:snapToGrid w:val="0"/>
        <w:spacing w:line="580" w:lineRule="exact"/>
        <w:ind w:firstLine="640" w:firstLineChars="200"/>
        <w:rPr>
          <w:rFonts w:hint="eastAsia" w:ascii="仿宋" w:eastAsia="仿宋" w:cs="仿宋"/>
          <w:sz w:val="32"/>
          <w:szCs w:val="32"/>
        </w:rPr>
      </w:pPr>
      <w:r>
        <w:rPr>
          <w:rFonts w:hint="eastAsia" w:ascii="仿宋" w:eastAsia="仿宋" w:cs="仿宋"/>
          <w:sz w:val="32"/>
          <w:szCs w:val="32"/>
        </w:rPr>
        <w:t>2. 由于决算公开表格中金额数值应当保留两位小数，公开数据为四舍五入计算结果，个别数据合计项与分项之和存在小数点后差额，特此说明。</w:t>
      </w:r>
    </w:p>
    <w:p>
      <w:pPr>
        <w:widowControl/>
        <w:spacing w:after="0" w:line="580" w:lineRule="exact"/>
        <w:ind w:firstLine="883" w:firstLineChars="200"/>
        <w:jc w:val="left"/>
        <w:rPr>
          <w:rFonts w:hint="eastAsia" w:ascii="仿宋" w:eastAsia="仿宋" w:cs="仿宋"/>
          <w:b/>
          <w:bCs/>
          <w:kern w:val="0"/>
          <w:sz w:val="44"/>
          <w:szCs w:val="44"/>
        </w:rPr>
      </w:pPr>
    </w:p>
    <w:p>
      <w:pPr>
        <w:widowControl/>
        <w:spacing w:after="0" w:line="580" w:lineRule="exact"/>
        <w:ind w:firstLine="883" w:firstLineChars="200"/>
        <w:jc w:val="left"/>
        <w:rPr>
          <w:rFonts w:hint="eastAsia" w:ascii="仿宋" w:eastAsia="仿宋" w:cs="仿宋"/>
          <w:b/>
          <w:bCs/>
          <w:kern w:val="0"/>
          <w:sz w:val="44"/>
          <w:szCs w:val="44"/>
        </w:rPr>
        <w:sectPr>
          <w:pgSz w:w="11906" w:h="16838"/>
          <w:pgMar w:top="2098" w:right="1474" w:bottom="1984" w:left="1588" w:header="851" w:footer="992" w:gutter="0"/>
          <w:docGrid w:type="lines" w:linePitch="312" w:charSpace="0"/>
        </w:sectPr>
      </w:pPr>
    </w:p>
    <w:p>
      <w:pPr>
        <w:widowControl/>
        <w:spacing w:line="1200" w:lineRule="exact"/>
        <w:jc w:val="center"/>
        <w:rPr>
          <w:rFonts w:hint="eastAsia" w:ascii="仿宋" w:eastAsia="仿宋" w:cs="仿宋"/>
          <w:color w:val="000000"/>
          <w:sz w:val="96"/>
          <w:szCs w:val="96"/>
        </w:rPr>
      </w:pPr>
    </w:p>
    <w:p>
      <w:pPr>
        <w:widowControl/>
        <w:spacing w:line="1200" w:lineRule="exact"/>
        <w:jc w:val="center"/>
        <w:rPr>
          <w:rFonts w:hint="eastAsia" w:ascii="仿宋" w:eastAsia="仿宋" w:cs="仿宋"/>
          <w:color w:val="000000"/>
          <w:sz w:val="96"/>
          <w:szCs w:val="96"/>
        </w:rPr>
      </w:pPr>
    </w:p>
    <w:p>
      <w:pPr>
        <w:widowControl/>
        <w:spacing w:line="1200" w:lineRule="exact"/>
        <w:jc w:val="center"/>
        <w:rPr>
          <w:rFonts w:hint="eastAsia" w:ascii="仿宋" w:eastAsia="仿宋" w:cs="仿宋"/>
          <w:color w:val="000000"/>
          <w:sz w:val="96"/>
          <w:szCs w:val="96"/>
        </w:rPr>
      </w:pPr>
    </w:p>
    <w:p>
      <w:pPr>
        <w:widowControl/>
        <w:spacing w:line="1200" w:lineRule="exact"/>
        <w:jc w:val="center"/>
        <w:rPr>
          <w:rFonts w:hint="eastAsia" w:ascii="仿宋" w:eastAsia="仿宋" w:cs="仿宋"/>
          <w:color w:val="000000"/>
          <w:sz w:val="96"/>
          <w:szCs w:val="96"/>
        </w:rPr>
      </w:pPr>
      <w:r>
        <w:rPr>
          <w:rFonts w:hint="eastAsia" w:ascii="仿宋" w:eastAsia="仿宋" w:cs="仿宋"/>
          <w:color w:val="000000"/>
          <w:sz w:val="96"/>
          <w:szCs w:val="96"/>
        </w:rPr>
        <w:t>第三部分</w:t>
      </w:r>
    </w:p>
    <w:p>
      <w:pPr>
        <w:widowControl/>
        <w:spacing w:line="1200" w:lineRule="exact"/>
        <w:jc w:val="center"/>
        <w:rPr>
          <w:rFonts w:hint="eastAsia" w:ascii="仿宋" w:eastAsia="仿宋" w:cs="仿宋"/>
          <w:color w:val="000000"/>
          <w:sz w:val="96"/>
          <w:szCs w:val="96"/>
        </w:rPr>
      </w:pPr>
      <w:r>
        <w:rPr>
          <w:rFonts w:hint="eastAsia" w:ascii="仿宋" w:eastAsia="仿宋" w:cs="仿宋"/>
          <w:color w:val="000000"/>
          <w:sz w:val="96"/>
          <w:szCs w:val="96"/>
        </w:rPr>
        <w:t>相关名词解释</w:t>
      </w:r>
    </w:p>
    <w:p>
      <w:pPr>
        <w:rPr>
          <w:rFonts w:hint="eastAsia" w:ascii="仿宋" w:eastAsia="仿宋" w:cs="仿宋"/>
          <w:color w:val="000000"/>
          <w:kern w:val="0"/>
        </w:rPr>
        <w:sectPr>
          <w:pgSz w:w="11906" w:h="16838"/>
          <w:pgMar w:top="2098" w:right="1474" w:bottom="1984" w:left="1588" w:header="851" w:footer="992" w:gutter="0"/>
          <w:docGrid w:type="lines" w:linePitch="312" w:charSpace="0"/>
        </w:sectPr>
      </w:pPr>
    </w:p>
    <w:p>
      <w:pPr>
        <w:widowControl/>
        <w:spacing w:line="560" w:lineRule="exact"/>
        <w:ind w:firstLine="643" w:firstLineChars="200"/>
        <w:rPr>
          <w:rFonts w:hint="eastAsia" w:ascii="仿宋" w:eastAsia="仿宋" w:cs="仿宋"/>
          <w:color w:val="000000"/>
          <w:kern w:val="0"/>
          <w:sz w:val="32"/>
          <w:szCs w:val="32"/>
        </w:rPr>
      </w:pPr>
      <w:r>
        <w:rPr>
          <w:rFonts w:hint="eastAsia" w:ascii="仿宋" w:eastAsia="仿宋" w:cs="仿宋"/>
          <w:b/>
          <w:bCs/>
          <w:color w:val="000000"/>
          <w:kern w:val="0"/>
          <w:sz w:val="32"/>
          <w:szCs w:val="32"/>
        </w:rPr>
        <w:t>（一）财政拨款收入：</w:t>
      </w:r>
      <w:r>
        <w:rPr>
          <w:rFonts w:hint="eastAsia" w:ascii="仿宋" w:eastAsia="仿宋" w:cs="仿宋"/>
          <w:color w:val="000000"/>
          <w:kern w:val="0"/>
          <w:sz w:val="32"/>
          <w:szCs w:val="32"/>
        </w:rPr>
        <w:t>本年度从本级财政部门取得的财政拨款，包括一般公共预算财政拨款和政府性基金预算财政拨款。</w:t>
      </w:r>
    </w:p>
    <w:p>
      <w:pPr>
        <w:widowControl/>
        <w:spacing w:line="560" w:lineRule="exact"/>
        <w:ind w:firstLine="643" w:firstLineChars="200"/>
        <w:rPr>
          <w:rFonts w:hint="eastAsia" w:ascii="仿宋" w:eastAsia="仿宋" w:cs="仿宋"/>
          <w:color w:val="000000"/>
          <w:kern w:val="0"/>
          <w:sz w:val="32"/>
          <w:szCs w:val="32"/>
        </w:rPr>
      </w:pPr>
      <w:r>
        <w:rPr>
          <w:rFonts w:hint="eastAsia" w:ascii="仿宋" w:eastAsia="仿宋" w:cs="仿宋"/>
          <w:b/>
          <w:bCs/>
          <w:color w:val="000000"/>
          <w:kern w:val="0"/>
          <w:sz w:val="32"/>
          <w:szCs w:val="32"/>
        </w:rPr>
        <w:t>（二）事业收入：</w:t>
      </w:r>
      <w:r>
        <w:rPr>
          <w:rFonts w:hint="eastAsia" w:ascii="仿宋" w:eastAsia="仿宋" w:cs="仿宋"/>
          <w:color w:val="000000"/>
          <w:kern w:val="0"/>
          <w:sz w:val="32"/>
          <w:szCs w:val="32"/>
        </w:rPr>
        <w:t>指事业单位开展专业业务活动及辅助活动所取得的收入。</w:t>
      </w:r>
    </w:p>
    <w:p>
      <w:pPr>
        <w:widowControl/>
        <w:spacing w:line="560" w:lineRule="exact"/>
        <w:ind w:firstLine="643" w:firstLineChars="200"/>
        <w:rPr>
          <w:rFonts w:hint="eastAsia" w:ascii="仿宋" w:eastAsia="仿宋" w:cs="仿宋"/>
          <w:color w:val="000000"/>
          <w:kern w:val="0"/>
          <w:sz w:val="32"/>
          <w:szCs w:val="32"/>
        </w:rPr>
      </w:pPr>
      <w:r>
        <w:rPr>
          <w:rFonts w:hint="eastAsia" w:ascii="仿宋" w:eastAsia="仿宋" w:cs="仿宋"/>
          <w:b/>
          <w:bCs/>
          <w:color w:val="000000"/>
          <w:kern w:val="0"/>
          <w:sz w:val="32"/>
          <w:szCs w:val="32"/>
        </w:rPr>
        <w:t>（三）其他收入：</w:t>
      </w:r>
      <w:r>
        <w:rPr>
          <w:rFonts w:hint="eastAsia" w:ascii="仿宋" w:eastAsia="仿宋" w:cs="仿宋"/>
          <w:color w:val="000000"/>
          <w:kern w:val="0"/>
          <w:sz w:val="32"/>
          <w:szCs w:val="32"/>
        </w:rPr>
        <w:t>指除上述“财政拨款收入”“事业收入”“经营收入”等以外的收入。</w:t>
      </w:r>
    </w:p>
    <w:p>
      <w:pPr>
        <w:widowControl/>
        <w:spacing w:line="560" w:lineRule="exact"/>
        <w:ind w:firstLine="643" w:firstLineChars="200"/>
        <w:rPr>
          <w:rFonts w:hint="eastAsia" w:ascii="仿宋" w:eastAsia="仿宋" w:cs="仿宋"/>
          <w:color w:val="000000"/>
          <w:kern w:val="0"/>
          <w:sz w:val="32"/>
          <w:szCs w:val="32"/>
        </w:rPr>
      </w:pPr>
      <w:r>
        <w:rPr>
          <w:rFonts w:hint="eastAsia" w:ascii="仿宋" w:eastAsia="仿宋" w:cs="仿宋"/>
          <w:b/>
          <w:bCs/>
          <w:color w:val="000000"/>
          <w:kern w:val="0"/>
          <w:sz w:val="32"/>
          <w:szCs w:val="32"/>
        </w:rPr>
        <w:t>（四）用事业基金弥补收支差额：</w:t>
      </w:r>
      <w:r>
        <w:rPr>
          <w:rFonts w:hint="eastAsia" w:ascii="仿宋" w:eastAsia="仿宋" w:cs="仿宋"/>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line="560" w:lineRule="exact"/>
        <w:ind w:firstLine="643" w:firstLineChars="200"/>
        <w:rPr>
          <w:rFonts w:hint="eastAsia" w:ascii="仿宋" w:eastAsia="仿宋" w:cs="仿宋"/>
          <w:color w:val="000000"/>
          <w:kern w:val="0"/>
          <w:sz w:val="32"/>
          <w:szCs w:val="32"/>
        </w:rPr>
      </w:pPr>
      <w:r>
        <w:rPr>
          <w:rFonts w:hint="eastAsia" w:ascii="仿宋" w:eastAsia="仿宋" w:cs="仿宋"/>
          <w:b/>
          <w:bCs/>
          <w:color w:val="000000"/>
          <w:kern w:val="0"/>
          <w:sz w:val="32"/>
          <w:szCs w:val="32"/>
        </w:rPr>
        <w:t>（五）年初结转和结余：</w:t>
      </w:r>
      <w:r>
        <w:rPr>
          <w:rFonts w:hint="eastAsia" w:ascii="仿宋" w:eastAsia="仿宋" w:cs="仿宋"/>
          <w:color w:val="000000"/>
          <w:kern w:val="0"/>
          <w:sz w:val="32"/>
          <w:szCs w:val="32"/>
        </w:rPr>
        <w:t>指以前年度尚未完成、结转到本年仍按原规定用途继续使用的资金，或项目已完成等产生的结余资金。</w:t>
      </w:r>
    </w:p>
    <w:p>
      <w:pPr>
        <w:widowControl/>
        <w:spacing w:line="560" w:lineRule="exact"/>
        <w:ind w:firstLine="643" w:firstLineChars="200"/>
        <w:rPr>
          <w:rFonts w:hint="eastAsia" w:ascii="仿宋" w:eastAsia="仿宋" w:cs="仿宋"/>
          <w:color w:val="000000"/>
          <w:kern w:val="0"/>
          <w:sz w:val="32"/>
          <w:szCs w:val="32"/>
        </w:rPr>
      </w:pPr>
      <w:r>
        <w:rPr>
          <w:rFonts w:hint="eastAsia" w:ascii="仿宋" w:eastAsia="仿宋" w:cs="仿宋"/>
          <w:b/>
          <w:bCs/>
          <w:color w:val="000000"/>
          <w:kern w:val="0"/>
          <w:sz w:val="32"/>
          <w:szCs w:val="32"/>
        </w:rPr>
        <w:t>（六）结余分配：</w:t>
      </w:r>
      <w:r>
        <w:rPr>
          <w:rFonts w:hint="eastAsia" w:ascii="仿宋" w:eastAsia="仿宋" w:cs="仿宋"/>
          <w:color w:val="000000"/>
          <w:kern w:val="0"/>
          <w:sz w:val="32"/>
          <w:szCs w:val="32"/>
        </w:rPr>
        <w:t>指事业单位按照事业单位会计制度的规定从非财政补助结余中分配的事业基金和职工福利基金等。</w:t>
      </w:r>
    </w:p>
    <w:p>
      <w:pPr>
        <w:widowControl/>
        <w:spacing w:line="560" w:lineRule="exact"/>
        <w:ind w:firstLine="643" w:firstLineChars="200"/>
        <w:rPr>
          <w:rFonts w:hint="eastAsia" w:ascii="仿宋" w:eastAsia="仿宋" w:cs="仿宋"/>
          <w:color w:val="000000"/>
          <w:kern w:val="0"/>
          <w:sz w:val="32"/>
          <w:szCs w:val="32"/>
        </w:rPr>
      </w:pPr>
      <w:r>
        <w:rPr>
          <w:rFonts w:hint="eastAsia" w:ascii="仿宋" w:eastAsia="仿宋" w:cs="仿宋"/>
          <w:b/>
          <w:bCs/>
          <w:color w:val="000000"/>
          <w:kern w:val="0"/>
          <w:sz w:val="32"/>
          <w:szCs w:val="32"/>
        </w:rPr>
        <w:t>（七）年末结转和结余：</w:t>
      </w:r>
      <w:r>
        <w:rPr>
          <w:rFonts w:hint="eastAsia" w:ascii="仿宋" w:eastAsia="仿宋" w:cs="仿宋"/>
          <w:color w:val="000000"/>
          <w:kern w:val="0"/>
          <w:sz w:val="32"/>
          <w:szCs w:val="32"/>
        </w:rPr>
        <w:t>指单位按有关规定结转到下年或以后年度继续使用的资金，或项目已完成等产生的结余资金。</w:t>
      </w:r>
    </w:p>
    <w:p>
      <w:pPr>
        <w:widowControl/>
        <w:spacing w:line="560" w:lineRule="exact"/>
        <w:ind w:firstLine="643" w:firstLineChars="200"/>
        <w:rPr>
          <w:rFonts w:hint="eastAsia" w:ascii="仿宋" w:eastAsia="仿宋" w:cs="仿宋"/>
          <w:color w:val="000000"/>
          <w:kern w:val="0"/>
          <w:sz w:val="32"/>
          <w:szCs w:val="32"/>
        </w:rPr>
      </w:pPr>
      <w:r>
        <w:rPr>
          <w:rFonts w:hint="eastAsia" w:ascii="仿宋" w:eastAsia="仿宋" w:cs="仿宋"/>
          <w:b/>
          <w:bCs/>
          <w:color w:val="000000"/>
          <w:kern w:val="0"/>
          <w:sz w:val="32"/>
          <w:szCs w:val="32"/>
        </w:rPr>
        <w:t>（八）基本支出：</w:t>
      </w:r>
      <w:r>
        <w:rPr>
          <w:rFonts w:hint="eastAsia" w:ascii="仿宋" w:eastAsia="仿宋" w:cs="仿宋"/>
          <w:color w:val="000000"/>
          <w:kern w:val="0"/>
          <w:sz w:val="32"/>
          <w:szCs w:val="32"/>
        </w:rPr>
        <w:t>填列单位为保障机构正常运转、完成日常工作任务而发生的各项支出。</w:t>
      </w:r>
    </w:p>
    <w:p>
      <w:pPr>
        <w:widowControl/>
        <w:spacing w:line="560" w:lineRule="exact"/>
        <w:ind w:firstLine="643" w:firstLineChars="200"/>
        <w:rPr>
          <w:rFonts w:hint="eastAsia" w:ascii="仿宋" w:eastAsia="仿宋" w:cs="仿宋"/>
          <w:color w:val="000000"/>
          <w:kern w:val="0"/>
          <w:sz w:val="32"/>
          <w:szCs w:val="32"/>
        </w:rPr>
      </w:pPr>
      <w:r>
        <w:rPr>
          <w:rFonts w:hint="eastAsia" w:ascii="仿宋" w:eastAsia="仿宋" w:cs="仿宋"/>
          <w:b/>
          <w:bCs/>
          <w:color w:val="000000"/>
          <w:kern w:val="0"/>
          <w:sz w:val="32"/>
          <w:szCs w:val="32"/>
        </w:rPr>
        <w:t>（九）项目支出：</w:t>
      </w:r>
      <w:r>
        <w:rPr>
          <w:rFonts w:hint="eastAsia" w:ascii="仿宋" w:eastAsia="仿宋" w:cs="仿宋"/>
          <w:color w:val="000000"/>
          <w:kern w:val="0"/>
          <w:sz w:val="32"/>
          <w:szCs w:val="32"/>
        </w:rPr>
        <w:t>填列单位为完成特定的行政工作任务或事业发展目标，在基本支出之外发生的各项支出</w:t>
      </w:r>
    </w:p>
    <w:p>
      <w:pPr>
        <w:widowControl/>
        <w:spacing w:line="560" w:lineRule="exact"/>
        <w:ind w:firstLine="643" w:firstLineChars="200"/>
        <w:rPr>
          <w:rFonts w:hint="eastAsia" w:ascii="仿宋" w:eastAsia="仿宋" w:cs="仿宋"/>
          <w:color w:val="000000"/>
          <w:kern w:val="0"/>
          <w:sz w:val="32"/>
          <w:szCs w:val="32"/>
        </w:rPr>
      </w:pPr>
      <w:r>
        <w:rPr>
          <w:rFonts w:hint="eastAsia" w:ascii="仿宋" w:eastAsia="仿宋" w:cs="仿宋"/>
          <w:b/>
          <w:bCs/>
          <w:color w:val="000000"/>
          <w:kern w:val="0"/>
          <w:sz w:val="32"/>
          <w:szCs w:val="32"/>
        </w:rPr>
        <w:t>（十）基本建设支出：</w:t>
      </w:r>
      <w:r>
        <w:rPr>
          <w:rFonts w:hint="eastAsia" w:ascii="仿宋" w:eastAsia="仿宋" w:cs="仿宋"/>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pacing w:line="560" w:lineRule="exact"/>
        <w:ind w:firstLine="643" w:firstLineChars="200"/>
        <w:rPr>
          <w:rFonts w:hint="eastAsia" w:ascii="仿宋" w:eastAsia="仿宋" w:cs="仿宋"/>
          <w:color w:val="000000"/>
          <w:kern w:val="0"/>
          <w:sz w:val="32"/>
          <w:szCs w:val="32"/>
        </w:rPr>
      </w:pPr>
      <w:r>
        <w:rPr>
          <w:rFonts w:hint="eastAsia" w:ascii="仿宋" w:eastAsia="仿宋" w:cs="仿宋"/>
          <w:b/>
          <w:bCs/>
          <w:color w:val="000000"/>
          <w:kern w:val="0"/>
          <w:sz w:val="32"/>
          <w:szCs w:val="32"/>
        </w:rPr>
        <w:t>（十一）其他资本性支出：</w:t>
      </w:r>
      <w:r>
        <w:rPr>
          <w:rFonts w:hint="eastAsia" w:ascii="仿宋" w:eastAsia="仿宋" w:cs="仿宋"/>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snapToGrid w:val="0"/>
        <w:spacing w:line="560" w:lineRule="exact"/>
        <w:ind w:firstLine="643" w:firstLineChars="200"/>
        <w:rPr>
          <w:rFonts w:hint="eastAsia" w:ascii="仿宋" w:eastAsia="仿宋" w:cs="仿宋"/>
          <w:color w:val="000000"/>
          <w:kern w:val="0"/>
          <w:sz w:val="32"/>
          <w:szCs w:val="32"/>
        </w:rPr>
      </w:pPr>
      <w:r>
        <w:rPr>
          <w:rFonts w:hint="eastAsia" w:ascii="仿宋" w:eastAsia="仿宋" w:cs="仿宋"/>
          <w:b/>
          <w:bCs/>
          <w:color w:val="000000"/>
          <w:kern w:val="0"/>
          <w:sz w:val="32"/>
          <w:szCs w:val="32"/>
        </w:rPr>
        <w:t>（十二）“三公”经费：</w:t>
      </w:r>
      <w:r>
        <w:rPr>
          <w:rFonts w:hint="eastAsia" w:ascii="仿宋" w:eastAsia="仿宋" w:cs="仿宋"/>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560" w:lineRule="exact"/>
        <w:ind w:firstLine="643" w:firstLineChars="200"/>
        <w:rPr>
          <w:rFonts w:hint="eastAsia" w:ascii="仿宋" w:eastAsia="仿宋" w:cs="仿宋"/>
          <w:color w:val="000000"/>
          <w:kern w:val="0"/>
          <w:sz w:val="32"/>
          <w:szCs w:val="32"/>
        </w:rPr>
      </w:pPr>
      <w:r>
        <w:rPr>
          <w:rFonts w:hint="eastAsia" w:ascii="仿宋" w:eastAsia="仿宋" w:cs="仿宋"/>
          <w:b/>
          <w:bCs/>
          <w:color w:val="000000"/>
          <w:kern w:val="0"/>
          <w:sz w:val="32"/>
          <w:szCs w:val="32"/>
        </w:rPr>
        <w:t>（十三）其他交通费用：</w:t>
      </w:r>
      <w:r>
        <w:rPr>
          <w:rFonts w:hint="eastAsia" w:ascii="仿宋" w:eastAsia="仿宋" w:cs="仿宋"/>
          <w:color w:val="000000"/>
          <w:kern w:val="0"/>
          <w:sz w:val="32"/>
          <w:szCs w:val="32"/>
        </w:rPr>
        <w:t>填列单位除公务用车运行维护费以外的其他交通费用。如公务交通补贴、租车费用、出租车费用，飞机、船舶等燃料费、维修费、保险费等。</w:t>
      </w:r>
    </w:p>
    <w:p>
      <w:pPr>
        <w:widowControl/>
        <w:spacing w:line="560" w:lineRule="exact"/>
        <w:ind w:firstLine="643" w:firstLineChars="200"/>
        <w:rPr>
          <w:rFonts w:hint="eastAsia" w:ascii="仿宋" w:eastAsia="仿宋" w:cs="仿宋"/>
          <w:color w:val="000000"/>
          <w:kern w:val="0"/>
          <w:sz w:val="32"/>
          <w:szCs w:val="32"/>
        </w:rPr>
      </w:pPr>
      <w:r>
        <w:rPr>
          <w:rFonts w:hint="eastAsia" w:ascii="仿宋" w:eastAsia="仿宋" w:cs="仿宋"/>
          <w:b/>
          <w:bCs/>
          <w:color w:val="000000"/>
          <w:kern w:val="0"/>
          <w:sz w:val="32"/>
          <w:szCs w:val="32"/>
        </w:rPr>
        <w:t>（十四）公务用车购置：</w:t>
      </w:r>
      <w:r>
        <w:rPr>
          <w:rFonts w:hint="eastAsia" w:ascii="仿宋" w:eastAsia="仿宋" w:cs="仿宋"/>
          <w:color w:val="000000"/>
          <w:kern w:val="0"/>
          <w:sz w:val="32"/>
          <w:szCs w:val="32"/>
        </w:rPr>
        <w:t>填列单位公务用车车辆购置支出（含车辆购置税、牌照费）。</w:t>
      </w:r>
    </w:p>
    <w:p>
      <w:pPr>
        <w:widowControl/>
        <w:spacing w:line="560" w:lineRule="exact"/>
        <w:ind w:firstLine="643" w:firstLineChars="200"/>
        <w:rPr>
          <w:rFonts w:hint="eastAsia" w:ascii="仿宋" w:eastAsia="仿宋" w:cs="仿宋"/>
          <w:color w:val="000000"/>
          <w:kern w:val="0"/>
          <w:sz w:val="32"/>
          <w:szCs w:val="32"/>
        </w:rPr>
      </w:pPr>
      <w:r>
        <w:rPr>
          <w:rFonts w:hint="eastAsia" w:ascii="仿宋" w:eastAsia="仿宋" w:cs="仿宋"/>
          <w:b/>
          <w:bCs/>
          <w:color w:val="000000"/>
          <w:kern w:val="0"/>
          <w:sz w:val="32"/>
          <w:szCs w:val="32"/>
        </w:rPr>
        <w:t>（十五）其他交通工具购置：</w:t>
      </w:r>
      <w:r>
        <w:rPr>
          <w:rFonts w:hint="eastAsia" w:ascii="仿宋" w:eastAsia="仿宋" w:cs="仿宋"/>
          <w:color w:val="000000"/>
          <w:kern w:val="0"/>
          <w:sz w:val="32"/>
          <w:szCs w:val="32"/>
        </w:rPr>
        <w:t>填列单位除公务用车外的其他各类交通工具（如船舶、飞机等）购置支出（含车辆购置税、牌照费）。</w:t>
      </w:r>
    </w:p>
    <w:p>
      <w:pPr>
        <w:widowControl/>
        <w:spacing w:line="560" w:lineRule="exact"/>
        <w:ind w:firstLine="643" w:firstLineChars="200"/>
        <w:rPr>
          <w:rFonts w:hint="eastAsia" w:ascii="仿宋" w:eastAsia="仿宋" w:cs="仿宋"/>
          <w:color w:val="000000"/>
          <w:kern w:val="0"/>
          <w:sz w:val="32"/>
          <w:szCs w:val="32"/>
        </w:rPr>
      </w:pPr>
      <w:r>
        <w:rPr>
          <w:rFonts w:hint="eastAsia" w:ascii="仿宋" w:eastAsia="仿宋" w:cs="仿宋"/>
          <w:b/>
          <w:bCs/>
          <w:color w:val="000000"/>
          <w:kern w:val="0"/>
          <w:sz w:val="32"/>
          <w:szCs w:val="32"/>
        </w:rPr>
        <w:t>（十六）机关运行经费：</w:t>
      </w:r>
      <w:r>
        <w:rPr>
          <w:rFonts w:hint="eastAsia" w:ascii="仿宋" w:eastAsia="仿宋" w:cs="仿宋"/>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widowControl/>
        <w:spacing w:line="560" w:lineRule="exact"/>
        <w:ind w:firstLine="643" w:firstLineChars="200"/>
        <w:rPr>
          <w:rFonts w:hint="eastAsia" w:ascii="仿宋" w:eastAsia="仿宋" w:cs="仿宋"/>
          <w:kern w:val="0"/>
          <w:sz w:val="32"/>
          <w:szCs w:val="32"/>
        </w:rPr>
      </w:pPr>
      <w:r>
        <w:rPr>
          <w:rFonts w:hint="eastAsia" w:ascii="仿宋" w:eastAsia="仿宋" w:cs="仿宋"/>
          <w:b/>
          <w:bCs/>
          <w:color w:val="000000"/>
          <w:kern w:val="0"/>
          <w:sz w:val="32"/>
          <w:szCs w:val="32"/>
        </w:rPr>
        <w:t>（十七）经费形式:</w:t>
      </w:r>
      <w:r>
        <w:rPr>
          <w:rFonts w:hint="eastAsia" w:ascii="仿宋" w:eastAsia="仿宋" w:cs="仿宋"/>
          <w:color w:val="000000"/>
          <w:kern w:val="0"/>
          <w:sz w:val="32"/>
          <w:szCs w:val="32"/>
        </w:rPr>
        <w:t>按照经费来源，</w:t>
      </w:r>
      <w:r>
        <w:rPr>
          <w:rFonts w:hint="eastAsia" w:ascii="仿宋" w:eastAsia="仿宋" w:cs="仿宋"/>
          <w:kern w:val="0"/>
          <w:sz w:val="32"/>
          <w:szCs w:val="32"/>
        </w:rPr>
        <w:t>可分为财政拨款、财政性资金基本保证、财政性资金定额或定项补助、财政性资金零补助四类。</w:t>
      </w:r>
    </w:p>
    <w:p>
      <w:pPr>
        <w:widowControl/>
        <w:spacing w:after="0" w:line="560" w:lineRule="exact"/>
        <w:ind w:firstLine="640" w:firstLineChars="200"/>
        <w:rPr>
          <w:rFonts w:ascii="仿宋_GB2312" w:eastAsia="仿宋_GB2312" w:cs="ArialUnicodeMS"/>
          <w:kern w:val="0"/>
          <w:sz w:val="32"/>
          <w:szCs w:val="32"/>
        </w:rPr>
      </w:pPr>
    </w:p>
    <w:p>
      <w:pPr>
        <w:widowControl/>
        <w:spacing w:after="0" w:line="560" w:lineRule="exact"/>
        <w:ind w:firstLine="640" w:firstLineChars="200"/>
        <w:rPr>
          <w:rFonts w:ascii="仿宋_GB2312" w:eastAsia="仿宋_GB2312" w:cs="ArialUnicodeMS"/>
          <w:kern w:val="0"/>
          <w:sz w:val="32"/>
          <w:szCs w:val="32"/>
        </w:rPr>
      </w:pPr>
    </w:p>
    <w:p>
      <w:pPr>
        <w:widowControl/>
        <w:spacing w:after="0" w:line="560" w:lineRule="exact"/>
        <w:ind w:firstLine="640" w:firstLineChars="200"/>
        <w:rPr>
          <w:rFonts w:ascii="仿宋_GB2312" w:eastAsia="仿宋_GB2312" w:cs="ArialUnicodeMS"/>
          <w:kern w:val="0"/>
          <w:sz w:val="32"/>
          <w:szCs w:val="32"/>
        </w:rPr>
      </w:pPr>
    </w:p>
    <w:p>
      <w:pPr>
        <w:widowControl/>
        <w:spacing w:after="0" w:line="560" w:lineRule="exact"/>
        <w:ind w:firstLine="640" w:firstLineChars="200"/>
        <w:rPr>
          <w:rFonts w:ascii="仿宋_GB2312" w:eastAsia="仿宋_GB2312" w:cs="ArialUnicodeMS"/>
          <w:kern w:val="0"/>
          <w:sz w:val="32"/>
          <w:szCs w:val="32"/>
        </w:rPr>
      </w:pPr>
    </w:p>
    <w:p>
      <w:pPr>
        <w:widowControl/>
        <w:spacing w:after="0" w:line="560" w:lineRule="exact"/>
        <w:ind w:firstLine="640" w:firstLineChars="200"/>
        <w:rPr>
          <w:rFonts w:ascii="仿宋_GB2312" w:eastAsia="仿宋_GB2312" w:cs="ArialUnicodeMS"/>
          <w:kern w:val="0"/>
          <w:sz w:val="32"/>
          <w:szCs w:val="32"/>
        </w:rPr>
      </w:pPr>
    </w:p>
    <w:p>
      <w:pPr>
        <w:widowControl/>
        <w:spacing w:after="0" w:line="560" w:lineRule="exact"/>
        <w:ind w:firstLine="640" w:firstLineChars="200"/>
        <w:rPr>
          <w:rFonts w:ascii="仿宋_GB2312" w:eastAsia="仿宋_GB2312" w:cs="ArialUnicodeMS"/>
          <w:kern w:val="0"/>
          <w:sz w:val="32"/>
          <w:szCs w:val="32"/>
        </w:rPr>
      </w:pPr>
    </w:p>
    <w:p>
      <w:pPr>
        <w:widowControl/>
        <w:spacing w:after="0" w:line="560" w:lineRule="exact"/>
        <w:ind w:firstLine="640" w:firstLineChars="200"/>
        <w:rPr>
          <w:rFonts w:ascii="仿宋_GB2312" w:eastAsia="仿宋_GB2312" w:cs="ArialUnicodeMS"/>
          <w:kern w:val="0"/>
          <w:sz w:val="32"/>
          <w:szCs w:val="32"/>
        </w:rPr>
      </w:pPr>
    </w:p>
    <w:p>
      <w:pPr>
        <w:widowControl/>
        <w:spacing w:after="0" w:line="560" w:lineRule="exact"/>
        <w:ind w:firstLine="640" w:firstLineChars="200"/>
        <w:rPr>
          <w:rFonts w:ascii="仿宋_GB2312" w:eastAsia="仿宋_GB2312" w:cs="ArialUnicodeMS"/>
          <w:kern w:val="0"/>
          <w:sz w:val="32"/>
          <w:szCs w:val="32"/>
        </w:rPr>
      </w:pPr>
    </w:p>
    <w:p>
      <w:pPr>
        <w:widowControl/>
        <w:spacing w:line="1200" w:lineRule="exact"/>
        <w:rPr>
          <w:rFonts w:ascii="黑体" w:eastAsia="黑体"/>
          <w:color w:val="000000"/>
          <w:sz w:val="72"/>
          <w:szCs w:val="96"/>
        </w:rPr>
      </w:pPr>
    </w:p>
    <w:p>
      <w:pPr>
        <w:widowControl/>
        <w:spacing w:line="1200" w:lineRule="exact"/>
        <w:jc w:val="center"/>
        <w:rPr>
          <w:rFonts w:ascii="黑体" w:eastAsia="黑体"/>
          <w:color w:val="000000"/>
          <w:sz w:val="72"/>
          <w:szCs w:val="96"/>
        </w:rPr>
      </w:pPr>
      <w:r>
        <w:rPr>
          <w:rFonts w:hint="eastAsia" w:ascii="黑体" w:eastAsia="黑体"/>
          <w:color w:val="000000"/>
          <w:sz w:val="72"/>
          <w:szCs w:val="96"/>
        </w:rPr>
        <w:t>第四部分</w:t>
      </w:r>
    </w:p>
    <w:p>
      <w:pPr>
        <w:widowControl/>
        <w:spacing w:line="1200" w:lineRule="exact"/>
        <w:jc w:val="center"/>
        <w:rPr>
          <w:color w:val="000000"/>
          <w:sz w:val="72"/>
          <w:szCs w:val="96"/>
        </w:rPr>
      </w:pPr>
      <w:r>
        <w:rPr>
          <w:rFonts w:hint="eastAsia" w:ascii="黑体" w:eastAsia="黑体"/>
          <w:color w:val="000000"/>
          <w:sz w:val="72"/>
          <w:szCs w:val="96"/>
        </w:rPr>
        <w:t>2019年度部门决算报表</w:t>
      </w:r>
    </w:p>
    <w:p>
      <w:pPr>
        <w:widowControl/>
        <w:spacing w:line="560" w:lineRule="exact"/>
        <w:jc w:val="center"/>
        <w:rPr>
          <w:rFonts w:ascii="黑体" w:eastAsia="黑体" w:cs="MS-UIGothic,Bold"/>
          <w:bCs/>
          <w:kern w:val="0"/>
          <w:sz w:val="52"/>
          <w:szCs w:val="52"/>
        </w:rPr>
      </w:pPr>
    </w:p>
    <w:p>
      <w:pPr>
        <w:widowControl/>
        <w:spacing w:line="560" w:lineRule="exact"/>
        <w:jc w:val="center"/>
        <w:rPr>
          <w:rFonts w:ascii="黑体" w:eastAsia="黑体" w:cs="MS-UIGothic,Bold"/>
          <w:bCs/>
          <w:kern w:val="0"/>
          <w:sz w:val="52"/>
          <w:szCs w:val="52"/>
        </w:rPr>
      </w:pPr>
    </w:p>
    <w:p>
      <w:pPr>
        <w:rPr>
          <w:rFonts w:ascii="宋体" w:cs="ArialUnicodeMS"/>
          <w:color w:val="000000"/>
          <w:kern w:val="0"/>
        </w:rPr>
      </w:pPr>
    </w:p>
    <w:p>
      <w:pPr>
        <w:rPr>
          <w:rFonts w:ascii="宋体" w:cs="ArialUnicodeMS"/>
          <w:color w:val="000000"/>
          <w:kern w:val="0"/>
        </w:rPr>
      </w:pPr>
    </w:p>
    <w:p>
      <w:pPr>
        <w:rPr>
          <w:rFonts w:ascii="宋体" w:cs="ArialUnicodeMS"/>
          <w:color w:val="000000"/>
          <w:kern w:val="0"/>
        </w:rPr>
      </w:pPr>
    </w:p>
    <w:p>
      <w:pPr>
        <w:rPr>
          <w:rFonts w:ascii="宋体" w:cs="ArialUnicodeMS"/>
          <w:color w:val="000000"/>
          <w:kern w:val="0"/>
        </w:rPr>
      </w:pPr>
    </w:p>
    <w:p>
      <w:pPr>
        <w:widowControl/>
        <w:spacing w:after="0" w:line="240" w:lineRule="auto"/>
        <w:jc w:val="left"/>
        <w:rPr>
          <w:rFonts w:ascii="宋体" w:cs="ArialUnicodeMS"/>
          <w:color w:val="000000"/>
          <w:kern w:val="0"/>
        </w:rPr>
      </w:pPr>
    </w:p>
    <w:p>
      <w:pPr>
        <w:widowControl/>
        <w:spacing w:line="240" w:lineRule="auto"/>
        <w:rPr>
          <w:rFonts w:hint="eastAsia" w:ascii="黑体" w:eastAsia="黑体"/>
          <w:color w:val="000000"/>
          <w:szCs w:val="21"/>
        </w:rPr>
      </w:pPr>
      <w:r>
        <w:rPr>
          <w:rFonts w:ascii="黑体" w:eastAsia="黑体"/>
          <w:color w:val="000000"/>
          <w:szCs w:val="21"/>
        </w:rPr>
        <w:object>
          <v:shape id="_x0000_i1026" o:spt="75" type="#_x0000_t75" style="height:626.25pt;width:483.75pt;" o:ole="t" filled="f" o:preferrelative="t" stroked="f" coordsize="21600,21600">
            <v:path/>
            <v:fill on="f" focussize="0,0"/>
            <v:stroke on="f" color="#000000"/>
            <v:imagedata r:id="rId8" o:title="2"/>
            <o:lock v:ext="edit" aspectratio="t"/>
            <w10:wrap type="none"/>
            <w10:anchorlock/>
          </v:shape>
          <o:OLEObject Type="Embed" ProgID="Package" ShapeID="_x0000_i1026" DrawAspect="Content" ObjectID="_1468075726" r:id="rId7">
            <o:LockedField>false</o:LockedField>
          </o:OLEObject>
        </w:object>
      </w:r>
      <w:r>
        <w:rPr>
          <w:rFonts w:ascii="黑体" w:eastAsia="黑体"/>
          <w:color w:val="000000"/>
          <w:szCs w:val="21"/>
        </w:rPr>
        <w:object>
          <v:shape id="_x0000_i1027" o:spt="75" type="#_x0000_t75" style="height:518.7pt;width:478.85pt;" o:ole="t" filled="f" o:preferrelative="t" stroked="f" coordsize="21600,21600">
            <v:path/>
            <v:fill on="f" focussize="0,0"/>
            <v:stroke on="f" color="#000000"/>
            <v:imagedata r:id="rId10" o:title="4"/>
            <o:lock v:ext="edit" aspectratio="t"/>
            <w10:wrap type="none"/>
            <w10:anchorlock/>
          </v:shape>
          <o:OLEObject Type="Embed" ProgID="Package" ShapeID="_x0000_i1027" DrawAspect="Content" ObjectID="_1468075727" r:id="rId9">
            <o:LockedField>false</o:LockedField>
          </o:OLEObject>
        </w:object>
      </w:r>
    </w:p>
    <w:p>
      <w:pPr>
        <w:widowControl/>
        <w:spacing w:line="240" w:lineRule="auto"/>
        <w:rPr>
          <w:rFonts w:hint="eastAsia" w:ascii="黑体" w:eastAsia="黑体"/>
          <w:color w:val="000000"/>
          <w:szCs w:val="21"/>
        </w:rPr>
      </w:pPr>
    </w:p>
    <w:p>
      <w:pPr>
        <w:widowControl/>
        <w:spacing w:line="240" w:lineRule="auto"/>
        <w:rPr>
          <w:rFonts w:hint="eastAsia" w:ascii="黑体" w:eastAsia="黑体"/>
          <w:color w:val="000000"/>
          <w:szCs w:val="21"/>
        </w:rPr>
      </w:pPr>
    </w:p>
    <w:p>
      <w:pPr>
        <w:widowControl/>
        <w:spacing w:line="240" w:lineRule="auto"/>
        <w:rPr>
          <w:rFonts w:hint="eastAsia" w:ascii="黑体" w:eastAsia="黑体"/>
          <w:color w:val="000000"/>
          <w:szCs w:val="21"/>
        </w:rPr>
      </w:pPr>
    </w:p>
    <w:p>
      <w:pPr>
        <w:widowControl/>
        <w:spacing w:line="240" w:lineRule="auto"/>
        <w:rPr>
          <w:rFonts w:hint="eastAsia" w:ascii="黑体" w:eastAsia="黑体"/>
          <w:color w:val="000000"/>
          <w:szCs w:val="21"/>
        </w:rPr>
      </w:pPr>
    </w:p>
    <w:p>
      <w:pPr>
        <w:widowControl/>
        <w:spacing w:line="240" w:lineRule="auto"/>
        <w:rPr>
          <w:rFonts w:hint="eastAsia" w:ascii="黑体" w:eastAsia="黑体"/>
          <w:color w:val="000000"/>
          <w:szCs w:val="21"/>
        </w:rPr>
      </w:pPr>
      <w:r>
        <w:rPr>
          <w:rFonts w:ascii="黑体" w:eastAsia="黑体"/>
          <w:color w:val="000000"/>
          <w:szCs w:val="21"/>
        </w:rPr>
        <w:object>
          <v:shape id="_x0000_i1028" o:spt="75" type="#_x0000_t75" style="height:305.85pt;width:485.55pt;" o:ole="t" filled="f" o:preferrelative="t" stroked="f" coordsize="21600,21600">
            <v:path/>
            <v:fill on="f" focussize="0,0"/>
            <v:stroke on="f" color="#000000"/>
            <v:imagedata r:id="rId12" o:title="6"/>
            <o:lock v:ext="edit" aspectratio="t"/>
            <w10:wrap type="none"/>
            <w10:anchorlock/>
          </v:shape>
          <o:OLEObject Type="Embed" ProgID="Package" ShapeID="_x0000_i1028" DrawAspect="Content" ObjectID="_1468075728" r:id="rId11">
            <o:LockedField>false</o:LockedField>
          </o:OLEObject>
        </w:object>
      </w:r>
    </w:p>
    <w:p>
      <w:pPr>
        <w:widowControl/>
        <w:spacing w:line="240" w:lineRule="auto"/>
        <w:rPr>
          <w:rFonts w:hint="eastAsia" w:ascii="黑体" w:eastAsia="黑体"/>
          <w:color w:val="000000"/>
          <w:szCs w:val="21"/>
        </w:rPr>
      </w:pPr>
    </w:p>
    <w:p>
      <w:pPr>
        <w:widowControl/>
        <w:spacing w:line="240" w:lineRule="auto"/>
        <w:rPr>
          <w:rFonts w:hint="eastAsia" w:ascii="黑体" w:eastAsia="黑体"/>
          <w:color w:val="000000"/>
          <w:szCs w:val="21"/>
        </w:rPr>
      </w:pPr>
    </w:p>
    <w:p>
      <w:pPr>
        <w:widowControl/>
        <w:spacing w:line="240" w:lineRule="auto"/>
        <w:rPr>
          <w:rFonts w:hint="eastAsia" w:ascii="黑体" w:eastAsia="黑体"/>
          <w:color w:val="000000"/>
          <w:szCs w:val="21"/>
        </w:rPr>
      </w:pPr>
    </w:p>
    <w:p>
      <w:pPr>
        <w:widowControl/>
        <w:spacing w:line="240" w:lineRule="auto"/>
        <w:rPr>
          <w:rFonts w:hint="eastAsia" w:ascii="黑体" w:eastAsia="黑体"/>
          <w:color w:val="000000"/>
          <w:szCs w:val="21"/>
        </w:rPr>
      </w:pPr>
    </w:p>
    <w:p>
      <w:pPr>
        <w:widowControl/>
        <w:spacing w:line="240" w:lineRule="auto"/>
        <w:rPr>
          <w:rFonts w:hint="eastAsia" w:ascii="黑体" w:eastAsia="黑体"/>
          <w:color w:val="000000"/>
          <w:szCs w:val="21"/>
        </w:rPr>
      </w:pPr>
      <w:r>
        <w:rPr>
          <w:rFonts w:ascii="黑体" w:eastAsia="黑体"/>
          <w:color w:val="000000"/>
          <w:szCs w:val="21"/>
        </w:rPr>
        <w:object>
          <v:shape id="_x0000_i1029" o:spt="75" type="#_x0000_t75" style="height:635.1pt;width:479.2pt;" o:ole="t" filled="f" o:preferrelative="t" stroked="f" coordsize="21600,21600">
            <v:path/>
            <v:fill on="f" focussize="0,0"/>
            <v:stroke on="f" color="#000000"/>
            <v:imagedata r:id="rId14" o:title="8"/>
            <o:lock v:ext="edit" aspectratio="t"/>
            <w10:wrap type="none"/>
            <w10:anchorlock/>
          </v:shape>
          <o:OLEObject Type="Embed" ProgID="Package" ShapeID="_x0000_i1029" DrawAspect="Content" ObjectID="_1468075729" r:id="rId13">
            <o:LockedField>false</o:LockedField>
          </o:OLEObject>
        </w:object>
      </w:r>
      <w:r>
        <w:rPr>
          <w:rFonts w:ascii="黑体" w:eastAsia="黑体"/>
          <w:color w:val="000000"/>
          <w:szCs w:val="21"/>
        </w:rPr>
        <w:object>
          <v:shape id="_x0000_i1030" o:spt="75" type="#_x0000_t75" style="height:391.6pt;width:485.2pt;" o:ole="t" filled="f" o:preferrelative="t" stroked="f" coordsize="21600,21600">
            <v:path/>
            <v:fill on="f" focussize="0,0"/>
            <v:stroke on="f" color="#000000"/>
            <v:imagedata r:id="rId16" o:title="10"/>
            <o:lock v:ext="edit" aspectratio="t"/>
            <w10:wrap type="none"/>
            <w10:anchorlock/>
          </v:shape>
          <o:OLEObject Type="Embed" ProgID="Package" ShapeID="_x0000_i1030" DrawAspect="Content" ObjectID="_1468075730" r:id="rId15">
            <o:LockedField>false</o:LockedField>
          </o:OLEObject>
        </w:object>
      </w:r>
    </w:p>
    <w:p>
      <w:pPr>
        <w:widowControl/>
        <w:spacing w:line="240" w:lineRule="auto"/>
        <w:rPr>
          <w:rFonts w:hint="eastAsia" w:ascii="黑体" w:eastAsia="黑体"/>
          <w:color w:val="000000"/>
          <w:szCs w:val="21"/>
        </w:rPr>
      </w:pPr>
    </w:p>
    <w:p>
      <w:pPr>
        <w:widowControl/>
        <w:spacing w:line="240" w:lineRule="auto"/>
        <w:rPr>
          <w:rFonts w:hint="eastAsia" w:ascii="黑体" w:eastAsia="黑体"/>
          <w:color w:val="000000"/>
          <w:szCs w:val="21"/>
        </w:rPr>
      </w:pPr>
      <w:r>
        <w:rPr>
          <w:rFonts w:ascii="黑体" w:eastAsia="黑体"/>
          <w:color w:val="000000"/>
          <w:szCs w:val="21"/>
        </w:rPr>
        <w:object>
          <v:shape id="_x0000_i1031" o:spt="75" type="#_x0000_t75" style="height:650.8pt;width:472.5pt;" o:ole="t" filled="f" o:preferrelative="t" stroked="f" coordsize="21600,21600">
            <v:path/>
            <v:fill on="f" focussize="0,0"/>
            <v:stroke on="f" color="#000000"/>
            <v:imagedata r:id="rId18" o:title="12"/>
            <o:lock v:ext="edit" aspectratio="t"/>
            <w10:wrap type="none"/>
            <w10:anchorlock/>
          </v:shape>
          <o:OLEObject Type="Embed" ProgID="Package" ShapeID="_x0000_i1031" DrawAspect="Content" ObjectID="_1468075731" r:id="rId17">
            <o:LockedField>false</o:LockedField>
          </o:OLEObject>
        </w:object>
      </w:r>
      <w:r>
        <w:rPr>
          <w:rFonts w:ascii="黑体" w:eastAsia="黑体"/>
          <w:color w:val="000000"/>
          <w:szCs w:val="21"/>
        </w:rPr>
        <w:object>
          <v:shape id="_x0000_i1032" o:spt="75" type="#_x0000_t75" style="height:199.25pt;width:484.85pt;" o:ole="t" filled="f" o:preferrelative="t" stroked="f" coordsize="21600,21600">
            <v:path/>
            <v:fill on="f" focussize="0,0"/>
            <v:stroke on="f" color="#000000"/>
            <v:imagedata r:id="rId20" o:title="14"/>
            <o:lock v:ext="edit" aspectratio="t"/>
            <w10:wrap type="none"/>
            <w10:anchorlock/>
          </v:shape>
          <o:OLEObject Type="Embed" ProgID="Package" ShapeID="_x0000_i1032" DrawAspect="Content" ObjectID="_1468075732" r:id="rId19">
            <o:LockedField>false</o:LockedField>
          </o:OLEObject>
        </w:object>
      </w:r>
    </w:p>
    <w:p>
      <w:pPr>
        <w:widowControl/>
        <w:spacing w:line="240" w:lineRule="auto"/>
        <w:rPr>
          <w:rFonts w:hint="eastAsia" w:ascii="黑体" w:eastAsia="黑体"/>
          <w:color w:val="000000"/>
          <w:szCs w:val="21"/>
        </w:rPr>
      </w:pPr>
    </w:p>
    <w:p>
      <w:pPr>
        <w:widowControl/>
        <w:spacing w:line="240" w:lineRule="auto"/>
        <w:rPr>
          <w:rFonts w:hint="eastAsia" w:ascii="黑体" w:eastAsia="黑体"/>
          <w:color w:val="000000"/>
          <w:szCs w:val="21"/>
        </w:rPr>
      </w:pPr>
    </w:p>
    <w:p>
      <w:pPr>
        <w:widowControl/>
        <w:spacing w:line="240" w:lineRule="auto"/>
        <w:rPr>
          <w:rFonts w:hint="eastAsia" w:ascii="黑体" w:eastAsia="黑体"/>
          <w:color w:val="000000"/>
          <w:szCs w:val="21"/>
        </w:rPr>
      </w:pPr>
    </w:p>
    <w:p>
      <w:pPr>
        <w:widowControl/>
        <w:spacing w:line="240" w:lineRule="auto"/>
        <w:rPr>
          <w:rFonts w:hint="eastAsia" w:ascii="黑体" w:eastAsia="黑体"/>
          <w:color w:val="000000"/>
          <w:szCs w:val="21"/>
        </w:rPr>
      </w:pPr>
    </w:p>
    <w:p>
      <w:pPr>
        <w:widowControl/>
        <w:spacing w:line="240" w:lineRule="auto"/>
        <w:rPr>
          <w:rFonts w:hint="eastAsia" w:ascii="黑体" w:eastAsia="黑体"/>
          <w:color w:val="000000"/>
          <w:szCs w:val="21"/>
        </w:rPr>
      </w:pPr>
    </w:p>
    <w:p>
      <w:pPr>
        <w:widowControl/>
        <w:spacing w:line="240" w:lineRule="auto"/>
        <w:rPr>
          <w:rFonts w:hint="eastAsia" w:ascii="黑体" w:eastAsia="黑体"/>
          <w:color w:val="000000"/>
          <w:szCs w:val="21"/>
        </w:rPr>
      </w:pPr>
    </w:p>
    <w:p>
      <w:pPr>
        <w:widowControl/>
        <w:spacing w:line="240" w:lineRule="auto"/>
        <w:rPr>
          <w:rFonts w:hint="eastAsia" w:ascii="黑体" w:eastAsia="黑体"/>
          <w:color w:val="000000"/>
          <w:szCs w:val="21"/>
        </w:rPr>
      </w:pPr>
    </w:p>
    <w:p>
      <w:pPr>
        <w:widowControl/>
        <w:spacing w:line="240" w:lineRule="auto"/>
        <w:rPr>
          <w:rFonts w:hint="eastAsia" w:ascii="黑体" w:eastAsia="黑体"/>
          <w:color w:val="000000"/>
          <w:szCs w:val="21"/>
        </w:rPr>
      </w:pPr>
    </w:p>
    <w:p>
      <w:pPr>
        <w:widowControl/>
        <w:spacing w:line="240" w:lineRule="auto"/>
        <w:rPr>
          <w:rFonts w:hint="eastAsia" w:ascii="黑体" w:eastAsia="黑体"/>
          <w:color w:val="000000"/>
          <w:szCs w:val="21"/>
        </w:rPr>
      </w:pPr>
    </w:p>
    <w:p>
      <w:pPr>
        <w:widowControl/>
        <w:spacing w:line="240" w:lineRule="auto"/>
        <w:rPr>
          <w:rFonts w:hint="eastAsia" w:ascii="黑体" w:eastAsia="黑体"/>
          <w:color w:val="000000"/>
          <w:szCs w:val="21"/>
        </w:rPr>
      </w:pPr>
    </w:p>
    <w:p>
      <w:pPr>
        <w:widowControl/>
        <w:spacing w:line="240" w:lineRule="auto"/>
        <w:rPr>
          <w:rFonts w:hint="eastAsia" w:ascii="黑体" w:eastAsia="黑体"/>
          <w:color w:val="000000"/>
          <w:szCs w:val="21"/>
        </w:rPr>
      </w:pPr>
    </w:p>
    <w:p>
      <w:pPr>
        <w:widowControl/>
        <w:spacing w:line="240" w:lineRule="auto"/>
        <w:rPr>
          <w:rFonts w:hint="eastAsia" w:ascii="黑体" w:eastAsia="黑体"/>
          <w:color w:val="000000"/>
          <w:szCs w:val="21"/>
        </w:rPr>
      </w:pPr>
    </w:p>
    <w:p>
      <w:pPr>
        <w:widowControl/>
        <w:spacing w:line="240" w:lineRule="auto"/>
        <w:rPr>
          <w:rFonts w:hint="eastAsia" w:ascii="黑体" w:eastAsia="黑体"/>
          <w:color w:val="000000"/>
          <w:szCs w:val="21"/>
        </w:rPr>
      </w:pPr>
    </w:p>
    <w:p>
      <w:pPr>
        <w:widowControl/>
        <w:spacing w:line="240" w:lineRule="auto"/>
        <w:rPr>
          <w:rFonts w:hint="eastAsia" w:ascii="黑体" w:eastAsia="黑体"/>
          <w:color w:val="000000"/>
          <w:szCs w:val="21"/>
        </w:rPr>
      </w:pPr>
      <w:r>
        <w:rPr>
          <w:rFonts w:ascii="黑体" w:eastAsia="黑体"/>
          <w:color w:val="000000"/>
          <w:szCs w:val="21"/>
        </w:rPr>
        <w:object>
          <v:shape id="_x0000_i1033" o:spt="75" type="#_x0000_t75" style="height:311.8pt;width:485.55pt;" o:ole="t" filled="f" o:preferrelative="t" stroked="f" coordsize="21600,21600">
            <v:path/>
            <v:fill on="f" focussize="0,0"/>
            <v:stroke on="f" color="#000000"/>
            <v:imagedata r:id="rId22" o:title="16"/>
            <o:lock v:ext="edit" aspectratio="t"/>
            <w10:wrap type="none"/>
            <w10:anchorlock/>
          </v:shape>
          <o:OLEObject Type="Embed" ProgID="Package" ShapeID="_x0000_i1033" DrawAspect="Content" ObjectID="_1468075733" r:id="rId21">
            <o:LockedField>false</o:LockedField>
          </o:OLEObject>
        </w:object>
      </w:r>
    </w:p>
    <w:p>
      <w:pPr>
        <w:widowControl/>
        <w:spacing w:line="240" w:lineRule="auto"/>
        <w:rPr>
          <w:rFonts w:hint="eastAsia" w:ascii="黑体" w:eastAsia="黑体"/>
          <w:color w:val="000000"/>
          <w:szCs w:val="21"/>
        </w:rPr>
      </w:pPr>
    </w:p>
    <w:p>
      <w:pPr>
        <w:widowControl/>
        <w:spacing w:line="240" w:lineRule="auto"/>
        <w:rPr>
          <w:rFonts w:hint="eastAsia" w:ascii="黑体" w:eastAsia="黑体"/>
          <w:color w:val="000000"/>
          <w:szCs w:val="21"/>
        </w:rPr>
      </w:pPr>
    </w:p>
    <w:p>
      <w:pPr>
        <w:widowControl/>
        <w:spacing w:line="240" w:lineRule="auto"/>
        <w:rPr>
          <w:rFonts w:hint="eastAsia" w:ascii="黑体" w:eastAsia="黑体"/>
          <w:color w:val="000000"/>
          <w:szCs w:val="21"/>
        </w:rPr>
      </w:pPr>
    </w:p>
    <w:p>
      <w:pPr>
        <w:widowControl/>
        <w:spacing w:line="240" w:lineRule="auto"/>
        <w:rPr>
          <w:rFonts w:hint="eastAsia" w:ascii="黑体" w:eastAsia="黑体"/>
          <w:color w:val="000000"/>
          <w:szCs w:val="21"/>
        </w:rPr>
      </w:pPr>
    </w:p>
    <w:p>
      <w:pPr>
        <w:widowControl/>
        <w:spacing w:line="240" w:lineRule="auto"/>
        <w:rPr>
          <w:rFonts w:hint="eastAsia" w:ascii="黑体" w:eastAsia="黑体"/>
          <w:color w:val="000000"/>
          <w:szCs w:val="21"/>
        </w:rPr>
      </w:pPr>
    </w:p>
    <w:p>
      <w:pPr>
        <w:widowControl/>
        <w:spacing w:line="240" w:lineRule="auto"/>
        <w:rPr>
          <w:rFonts w:hint="eastAsia" w:ascii="黑体" w:eastAsia="黑体"/>
          <w:color w:val="000000"/>
          <w:szCs w:val="21"/>
        </w:rPr>
      </w:pPr>
    </w:p>
    <w:p>
      <w:pPr>
        <w:widowControl/>
        <w:spacing w:line="240" w:lineRule="auto"/>
        <w:rPr>
          <w:rFonts w:hint="eastAsia" w:ascii="黑体" w:eastAsia="黑体"/>
          <w:color w:val="000000"/>
          <w:szCs w:val="21"/>
        </w:rPr>
      </w:pPr>
    </w:p>
    <w:p>
      <w:pPr>
        <w:widowControl/>
        <w:spacing w:line="240" w:lineRule="auto"/>
        <w:rPr>
          <w:rFonts w:hint="eastAsia" w:ascii="黑体" w:eastAsia="黑体"/>
          <w:color w:val="000000"/>
          <w:szCs w:val="21"/>
        </w:rPr>
      </w:pPr>
    </w:p>
    <w:p>
      <w:pPr>
        <w:widowControl/>
        <w:spacing w:line="240" w:lineRule="auto"/>
        <w:rPr>
          <w:rFonts w:hint="eastAsia" w:ascii="黑体" w:eastAsia="黑体"/>
          <w:color w:val="000000"/>
          <w:szCs w:val="21"/>
        </w:rPr>
      </w:pPr>
    </w:p>
    <w:p>
      <w:pPr>
        <w:widowControl/>
        <w:spacing w:line="240" w:lineRule="auto"/>
        <w:rPr>
          <w:rFonts w:hint="eastAsia" w:ascii="黑体" w:eastAsia="黑体"/>
          <w:color w:val="000000"/>
          <w:szCs w:val="21"/>
        </w:rPr>
      </w:pPr>
    </w:p>
    <w:p>
      <w:pPr>
        <w:widowControl/>
        <w:spacing w:line="240" w:lineRule="auto"/>
        <w:rPr>
          <w:rFonts w:hint="eastAsia" w:ascii="黑体" w:eastAsia="黑体"/>
          <w:color w:val="000000"/>
          <w:szCs w:val="21"/>
        </w:rPr>
      </w:pPr>
    </w:p>
    <w:p>
      <w:pPr>
        <w:widowControl/>
        <w:spacing w:line="240" w:lineRule="auto"/>
        <w:rPr>
          <w:rFonts w:hint="eastAsia" w:ascii="黑体" w:eastAsia="黑体"/>
          <w:color w:val="000000"/>
          <w:szCs w:val="21"/>
        </w:rPr>
      </w:pPr>
    </w:p>
    <w:p>
      <w:pPr>
        <w:widowControl/>
        <w:spacing w:line="240" w:lineRule="auto"/>
        <w:rPr>
          <w:rFonts w:hint="eastAsia" w:ascii="黑体" w:eastAsia="黑体"/>
          <w:color w:val="000000"/>
          <w:szCs w:val="21"/>
        </w:rPr>
      </w:pPr>
    </w:p>
    <w:p>
      <w:pPr>
        <w:widowControl/>
        <w:spacing w:line="240" w:lineRule="auto"/>
        <w:rPr>
          <w:rFonts w:hint="eastAsia" w:ascii="黑体" w:eastAsia="黑体"/>
          <w:color w:val="000000"/>
          <w:szCs w:val="21"/>
        </w:rPr>
      </w:pPr>
      <w:r>
        <w:rPr>
          <w:rFonts w:ascii="黑体" w:eastAsia="黑体"/>
          <w:color w:val="000000"/>
          <w:szCs w:val="21"/>
        </w:rPr>
        <w:object>
          <v:shape id="_x0000_i1034" o:spt="75" type="#_x0000_t75" style="height:230.1pt;width:483pt;" o:ole="t" filled="f" o:preferrelative="t" stroked="f" coordsize="21600,21600">
            <v:path/>
            <v:fill on="f" focussize="0,0"/>
            <v:stroke on="f" color="#000000"/>
            <v:imagedata r:id="rId24" o:title="18"/>
            <o:lock v:ext="edit" aspectratio="t"/>
            <w10:wrap type="none"/>
            <w10:anchorlock/>
          </v:shape>
          <o:OLEObject Type="Embed" ProgID="Package" ShapeID="_x0000_i1034" DrawAspect="Content" ObjectID="_1468075734" r:id="rId23">
            <o:LockedField>false</o:LockedField>
          </o:OLEObject>
        </w:object>
      </w:r>
    </w:p>
    <w:sectPr>
      <w:pgSz w:w="11906" w:h="16838"/>
      <w:pgMar w:top="2098" w:right="1474" w:bottom="1984" w:left="1588" w:header="851" w:footer="992" w:gutter="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00000" w:csb1="00000000"/>
  </w:font>
  <w:font w:name="ArialUnicodeMS">
    <w:altName w:val="Malgun Gothic"/>
    <w:panose1 w:val="00000000000000000000"/>
    <w:charset w:val="81"/>
    <w:family w:val="auto"/>
    <w:pitch w:val="default"/>
    <w:sig w:usb0="00000000" w:usb1="00000000" w:usb2="00000010" w:usb3="00000000" w:csb0="00080001" w:csb1="00000000"/>
  </w:font>
  <w:font w:name="MS-UIGothic,Bold">
    <w:altName w:val="Malgun Gothic"/>
    <w:panose1 w:val="00000000000000000000"/>
    <w:charset w:val="81"/>
    <w:family w:val="auto"/>
    <w:pitch w:val="default"/>
    <w:sig w:usb0="00000000" w:usb1="00000000" w:usb2="00000010" w:usb3="00000000" w:csb0="00080000" w:csb1="00000000"/>
  </w:font>
  <w:font w:name="DengXian-Regular">
    <w:altName w:val="宋体"/>
    <w:panose1 w:val="00000000000000000000"/>
    <w:charset w:val="86"/>
    <w:family w:val="auto"/>
    <w:pitch w:val="default"/>
    <w:sig w:usb0="00000000" w:usb1="00000000" w:usb2="00000010" w:usb3="00000000" w:csb0="00040001" w:csb1="00000000"/>
  </w:font>
  <w:font w:name="楷体_GB2312">
    <w:altName w:val="楷体"/>
    <w:panose1 w:val="02010609030101010101"/>
    <w:charset w:val="86"/>
    <w:family w:val="modern"/>
    <w:pitch w:val="default"/>
    <w:sig w:usb0="00000000" w:usb1="00000000" w:usb2="00000000" w:usb3="00000000" w:csb0="00000000" w:csb1="00000000"/>
  </w:font>
  <w:font w:name="DengXian-Bold">
    <w:altName w:val="宋体"/>
    <w:panose1 w:val="00000000000000000000"/>
    <w:charset w:val="86"/>
    <w:family w:val="auto"/>
    <w:pitch w:val="default"/>
    <w:sig w:usb0="00000000" w:usb1="00000000" w:usb2="00000010"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DB9A87"/>
    <w:multiLevelType w:val="singleLevel"/>
    <w:tmpl w:val="45DB9A87"/>
    <w:lvl w:ilvl="0" w:tentative="0">
      <w:start w:val="3"/>
      <w:numFmt w:val="chineseCounting"/>
      <w:suff w:val="nothing"/>
      <w:lvlText w:val="（%1）"/>
      <w:lvlJc w:val="left"/>
      <w:pPr>
        <w:tabs>
          <w:tab w:val="left" w:pos="0"/>
        </w:tabs>
        <w:ind w:left="0" w:firstLine="0"/>
      </w:pPr>
      <w:rPr>
        <w:rFonts w:hint="eastAsia"/>
      </w:rPr>
    </w:lvl>
  </w:abstractNum>
  <w:abstractNum w:abstractNumId="1">
    <w:nsid w:val="5F222FFA"/>
    <w:multiLevelType w:val="singleLevel"/>
    <w:tmpl w:val="5F222FFA"/>
    <w:lvl w:ilvl="0" w:tentative="0">
      <w:start w:val="1"/>
      <w:numFmt w:val="decimal"/>
      <w:suff w:val="nothing"/>
      <w:lvlText w:val="（%1）"/>
      <w:lvlJc w:val="left"/>
      <w:pPr>
        <w:tabs>
          <w:tab w:val="left"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val="1"/>
  <w:bordersDoNotSurroundHeader w:val="0"/>
  <w:bordersDoNotSurroundFooter w:val="0"/>
  <w:documentProtection w:edit="readOnly"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
  <w:rsids>
    <w:rsidRoot w:val="00172A27"/>
    <w:rsid w:val="1FD4451D"/>
    <w:rsid w:val="224C572F"/>
    <w:rsid w:val="3A303C5A"/>
    <w:rsid w:val="47623C9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480" w:lineRule="auto"/>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widowControl w:val="0"/>
      <w:spacing w:before="340" w:after="330" w:line="578" w:lineRule="auto"/>
      <w:outlineLvl w:val="0"/>
    </w:pPr>
    <w:rPr>
      <w:b/>
      <w:bCs/>
      <w:kern w:val="44"/>
      <w:sz w:val="44"/>
      <w:szCs w:val="44"/>
    </w:rPr>
  </w:style>
  <w:style w:type="paragraph" w:styleId="3">
    <w:name w:val="heading 2"/>
    <w:basedOn w:val="1"/>
    <w:next w:val="1"/>
    <w:qFormat/>
    <w:uiPriority w:val="0"/>
    <w:pPr>
      <w:keepNext/>
      <w:keepLines/>
      <w:widowControl w:val="0"/>
      <w:spacing w:before="260" w:after="260" w:line="415" w:lineRule="auto"/>
      <w:outlineLvl w:val="1"/>
    </w:pPr>
    <w:rPr>
      <w:rFonts w:ascii="Calibri" w:hAnsi="Calibri" w:eastAsia="宋体" w:cs="Arial"/>
      <w:b/>
      <w:bCs/>
      <w:sz w:val="32"/>
      <w:szCs w:val="32"/>
    </w:rPr>
  </w:style>
  <w:style w:type="paragraph" w:styleId="4">
    <w:name w:val="heading 3"/>
    <w:basedOn w:val="1"/>
    <w:next w:val="1"/>
    <w:qFormat/>
    <w:uiPriority w:val="0"/>
    <w:pPr>
      <w:keepNext/>
      <w:keepLines/>
      <w:widowControl w:val="0"/>
      <w:spacing w:before="260" w:after="260" w:line="415" w:lineRule="auto"/>
      <w:outlineLvl w:val="2"/>
    </w:pPr>
    <w:rPr>
      <w:b/>
      <w:bCs/>
      <w:sz w:val="32"/>
      <w:szCs w:val="32"/>
    </w:rPr>
  </w:style>
  <w:style w:type="paragraph" w:styleId="5">
    <w:name w:val="heading 4"/>
    <w:basedOn w:val="1"/>
    <w:next w:val="1"/>
    <w:qFormat/>
    <w:uiPriority w:val="0"/>
    <w:pPr>
      <w:keepNext/>
      <w:keepLines/>
      <w:widowControl w:val="0"/>
      <w:spacing w:before="280" w:after="290" w:line="377" w:lineRule="auto"/>
      <w:outlineLvl w:val="3"/>
    </w:pPr>
    <w:rPr>
      <w:rFonts w:ascii="Calibri" w:hAnsi="Calibri" w:eastAsia="宋体" w:cs="Arial"/>
      <w:b/>
      <w:bCs/>
      <w:sz w:val="28"/>
      <w:szCs w:val="28"/>
    </w:rPr>
  </w:style>
  <w:style w:type="character" w:default="1" w:styleId="14">
    <w:name w:val="Default Paragraph Font"/>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6">
    <w:name w:val="Document Map"/>
    <w:basedOn w:val="1"/>
    <w:qFormat/>
    <w:uiPriority w:val="0"/>
    <w:rPr>
      <w:rFonts w:ascii="宋体"/>
      <w:sz w:val="18"/>
      <w:szCs w:val="18"/>
    </w:rPr>
  </w:style>
  <w:style w:type="paragraph" w:styleId="7">
    <w:name w:val="Date"/>
    <w:basedOn w:val="1"/>
    <w:next w:val="1"/>
    <w:qFormat/>
    <w:uiPriority w:val="0"/>
    <w:pPr>
      <w:ind w:left="2500" w:leftChars="2500"/>
    </w:pPr>
  </w:style>
  <w:style w:type="paragraph" w:styleId="8">
    <w:name w:val="Balloon Text"/>
    <w:basedOn w:val="1"/>
    <w:qFormat/>
    <w:uiPriority w:val="0"/>
    <w:rPr>
      <w:sz w:val="18"/>
      <w:szCs w:val="18"/>
    </w:rPr>
  </w:style>
  <w:style w:type="paragraph" w:styleId="9">
    <w:name w:val="footer"/>
    <w:basedOn w:val="1"/>
    <w:qFormat/>
    <w:uiPriority w:val="0"/>
    <w:pPr>
      <w:tabs>
        <w:tab w:val="center" w:pos="4153"/>
        <w:tab w:val="right" w:pos="8306"/>
      </w:tabs>
      <w:snapToGrid w:val="0"/>
      <w:jc w:val="left"/>
    </w:pPr>
    <w:rPr>
      <w:rFonts w:ascii="Cambria" w:hAnsi="Cambria" w:eastAsia="黑体" w:cs="Times New Roman"/>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rFonts w:ascii="Cambria" w:hAnsi="Cambria" w:eastAsia="黑体" w:cs="Times New Roman"/>
      <w:sz w:val="18"/>
      <w:szCs w:val="18"/>
    </w:rPr>
  </w:style>
  <w:style w:type="paragraph" w:styleId="11">
    <w:name w:val="Subtitle"/>
    <w:basedOn w:val="1"/>
    <w:next w:val="1"/>
    <w:qFormat/>
    <w:uiPriority w:val="0"/>
    <w:pPr>
      <w:widowControl/>
      <w:spacing w:after="200" w:line="276" w:lineRule="auto"/>
      <w:jc w:val="left"/>
    </w:pPr>
    <w:rPr>
      <w:rFonts w:ascii="Calibri" w:hAnsi="Calibri" w:eastAsia="宋体" w:cs="Arial"/>
      <w:i/>
      <w:iCs/>
      <w:color w:val="F0A22E"/>
      <w:spacing w:val="15"/>
      <w:kern w:val="0"/>
      <w:sz w:val="24"/>
    </w:rPr>
  </w:style>
  <w:style w:type="paragraph" w:styleId="12">
    <w:name w:val="Title"/>
    <w:basedOn w:val="1"/>
    <w:next w:val="1"/>
    <w:qFormat/>
    <w:uiPriority w:val="0"/>
    <w:pPr>
      <w:widowControl/>
      <w:pBdr>
        <w:bottom w:val="single" w:color="F0A22E" w:sz="8" w:space="4"/>
      </w:pBdr>
      <w:spacing w:after="300"/>
      <w:contextualSpacing/>
      <w:jc w:val="left"/>
    </w:pPr>
    <w:rPr>
      <w:rFonts w:ascii="Calibri" w:hAnsi="Calibri" w:eastAsia="宋体" w:cs="Arial"/>
      <w:color w:val="3B2C24"/>
      <w:spacing w:val="5"/>
      <w:kern w:val="28"/>
      <w:sz w:val="52"/>
      <w:szCs w:val="52"/>
    </w:rPr>
  </w:style>
  <w:style w:type="paragraph" w:styleId="15">
    <w:name w:val="No Spacing"/>
    <w:qFormat/>
    <w:uiPriority w:val="0"/>
    <w:pPr>
      <w:spacing w:after="160" w:line="480" w:lineRule="auto"/>
    </w:pPr>
    <w:rPr>
      <w:rFonts w:ascii="Cambria" w:hAnsi="Cambria" w:eastAsia="黑体" w:cs="Times New Roman"/>
      <w:sz w:val="22"/>
      <w:szCs w:val="22"/>
      <w:lang w:val="en-US" w:eastAsia="zh-CN" w:bidi="ar-SA"/>
    </w:rPr>
  </w:style>
  <w:style w:type="character" w:customStyle="1" w:styleId="16">
    <w:name w:val="Style1"/>
    <w:basedOn w:val="14"/>
    <w:qFormat/>
    <w:uiPriority w:val="0"/>
    <w:rPr>
      <w:rFonts w:ascii="Cambria" w:hAnsi="Cambria" w:eastAsia="黑体" w:cs="Times New Roman"/>
      <w:sz w:val="22"/>
      <w:szCs w:val="22"/>
      <w:lang w:eastAsia="zh-CN"/>
    </w:rPr>
  </w:style>
  <w:style w:type="character" w:customStyle="1" w:styleId="17">
    <w:name w:val="Style2"/>
    <w:basedOn w:val="14"/>
    <w:qFormat/>
    <w:uiPriority w:val="0"/>
    <w:rPr>
      <w:rFonts w:ascii="Cambria" w:hAnsi="Cambria" w:eastAsia="黑体" w:cs="Times New Roman"/>
      <w:sz w:val="22"/>
      <w:szCs w:val="22"/>
      <w:lang w:eastAsia="zh-CN"/>
    </w:rPr>
  </w:style>
  <w:style w:type="character" w:customStyle="1" w:styleId="18">
    <w:name w:val="Style3"/>
    <w:basedOn w:val="14"/>
    <w:qFormat/>
    <w:uiPriority w:val="0"/>
    <w:rPr>
      <w:rFonts w:ascii="Cambria" w:hAnsi="Cambria" w:eastAsia="黑体" w:cs="Times New Roman"/>
      <w:szCs w:val="22"/>
      <w:lang w:eastAsia="zh-CN"/>
    </w:rPr>
  </w:style>
  <w:style w:type="character" w:customStyle="1" w:styleId="19">
    <w:name w:val="Style4"/>
    <w:basedOn w:val="14"/>
    <w:qFormat/>
    <w:uiPriority w:val="0"/>
    <w:rPr>
      <w:rFonts w:ascii="Cambria" w:hAnsi="Cambria" w:eastAsia="黑体" w:cs="Times New Roman"/>
      <w:szCs w:val="22"/>
      <w:lang w:eastAsia="zh-CN"/>
    </w:rPr>
  </w:style>
  <w:style w:type="character" w:customStyle="1" w:styleId="20">
    <w:name w:val="Style5"/>
    <w:basedOn w:val="14"/>
    <w:qFormat/>
    <w:uiPriority w:val="0"/>
    <w:rPr>
      <w:rFonts w:ascii="Cambria" w:hAnsi="Cambria" w:eastAsia="黑体" w:cs="Times New Roman"/>
      <w:sz w:val="22"/>
      <w:szCs w:val="22"/>
      <w:lang w:eastAsia="zh-CN"/>
    </w:rPr>
  </w:style>
  <w:style w:type="paragraph" w:styleId="21">
    <w:name w:val="List Paragraph"/>
    <w:basedOn w:val="1"/>
    <w:qFormat/>
    <w:uiPriority w:val="0"/>
    <w:pPr>
      <w:ind w:firstLine="200" w:firstLineChars="200"/>
    </w:p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3.bin"/><Relationship Id="rId8" Type="http://schemas.openxmlformats.org/officeDocument/2006/relationships/image" Target="media/image3.emf"/><Relationship Id="rId7" Type="http://schemas.openxmlformats.org/officeDocument/2006/relationships/oleObject" Target="embeddings/oleObject2.bin"/><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oleObject" Target="embeddings/oleObject1.bin"/><Relationship Id="rId3" Type="http://schemas.openxmlformats.org/officeDocument/2006/relationships/theme" Target="theme/theme1.xml"/><Relationship Id="rId27" Type="http://schemas.openxmlformats.org/officeDocument/2006/relationships/fontTable" Target="fontTable.xml"/><Relationship Id="rId26" Type="http://schemas.openxmlformats.org/officeDocument/2006/relationships/numbering" Target="numbering.xml"/><Relationship Id="rId25" Type="http://schemas.openxmlformats.org/officeDocument/2006/relationships/customXml" Target="../customXml/item1.xml"/><Relationship Id="rId24" Type="http://schemas.openxmlformats.org/officeDocument/2006/relationships/image" Target="media/image11.emf"/><Relationship Id="rId23" Type="http://schemas.openxmlformats.org/officeDocument/2006/relationships/oleObject" Target="embeddings/oleObject10.bin"/><Relationship Id="rId22" Type="http://schemas.openxmlformats.org/officeDocument/2006/relationships/image" Target="media/image10.emf"/><Relationship Id="rId21" Type="http://schemas.openxmlformats.org/officeDocument/2006/relationships/oleObject" Target="embeddings/oleObject9.bin"/><Relationship Id="rId20" Type="http://schemas.openxmlformats.org/officeDocument/2006/relationships/image" Target="media/image9.emf"/><Relationship Id="rId2" Type="http://schemas.openxmlformats.org/officeDocument/2006/relationships/settings" Target="settings.xml"/><Relationship Id="rId19" Type="http://schemas.openxmlformats.org/officeDocument/2006/relationships/oleObject" Target="embeddings/oleObject8.bin"/><Relationship Id="rId18" Type="http://schemas.openxmlformats.org/officeDocument/2006/relationships/image" Target="media/image8.emf"/><Relationship Id="rId17" Type="http://schemas.openxmlformats.org/officeDocument/2006/relationships/oleObject" Target="embeddings/oleObject7.bin"/><Relationship Id="rId16" Type="http://schemas.openxmlformats.org/officeDocument/2006/relationships/image" Target="media/image7.emf"/><Relationship Id="rId15" Type="http://schemas.openxmlformats.org/officeDocument/2006/relationships/oleObject" Target="embeddings/oleObject6.bin"/><Relationship Id="rId14" Type="http://schemas.openxmlformats.org/officeDocument/2006/relationships/image" Target="media/image6.emf"/><Relationship Id="rId13" Type="http://schemas.openxmlformats.org/officeDocument/2006/relationships/oleObject" Target="embeddings/oleObject5.bin"/><Relationship Id="rId12" Type="http://schemas.openxmlformats.org/officeDocument/2006/relationships/image" Target="media/image5.emf"/><Relationship Id="rId11" Type="http://schemas.openxmlformats.org/officeDocument/2006/relationships/oleObject" Target="embeddings/oleObject4.bin"/><Relationship Id="rId10" Type="http://schemas.openxmlformats.org/officeDocument/2006/relationships/image" Target="media/image4.emf"/><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Company>Microsoft</Company>
  <Pages>79</Pages>
  <Words>17251</Words>
  <Characters>19240</Characters>
  <Lines>3414</Lines>
  <Paragraphs>1606</Paragraphs>
  <TotalTime>3</TotalTime>
  <ScaleCrop>false</ScaleCrop>
  <LinksUpToDate>false</LinksUpToDate>
  <CharactersWithSpaces>19448</CharactersWithSpaces>
  <Application>WPS Office_11.1.0.9564_F1E327BC-269C-435d-A152-05C5408002CA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2019-09-26T01:09:00Z</dcterms:created>
  <dc:creator>User</dc:creator>
  <cp:lastModifiedBy>Admin</cp:lastModifiedBy>
  <cp:lastPrinted>2019-09-27T00:42:00Z</cp:lastPrinted>
  <dcterms:modified xsi:type="dcterms:W3CDTF">2021-04-30T05:59:34Z</dcterms:modified>
  <dc:subject>石家庄市xxx部门</dc:subject>
  <dc:title>2017年度部门决算</dc:title>
  <cp:revision>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